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PE24.024167 vom 25. Februar 2025</w:t>
      </w:r>
    </w:p>
    <w:p>
      <w:r>
        <w:t>VD Tribunal cantonal, 2025-02-25, FR</w:t>
      </w:r>
    </w:p>
    <w:p>
      <w:r>
        <w:rPr>
          <w:b/>
        </w:rPr>
        <w:t xml:space="preserve">Quelle: </w:t>
      </w:r>
      <w:r>
        <w:t>https://mcp.opencaselaw.ch/entscheid/vd_gerichte_PE24.024167</w:t>
      </w:r>
    </w:p>
    <w:p>
      <w:r>
        <w:t>FR: VD_GERICHTE PE24.024167 du 25 février 2025</w:t>
      </w:r>
    </w:p>
    <w:p>
      <w:r>
        <w:t>IT: VD_GERICHTE PE24.024167 del 25 febbraio 2025</w:t>
      </w:r>
    </w:p>
    <w:p>
      <w:pPr>
        <w:pStyle w:val="Heading2"/>
      </w:pPr>
      <w:r>
        <w:t>Erwägungen</w:t>
      </w:r>
    </w:p>
    <w:p>
      <w:r>
        <w:rPr>
          <w:b/>
        </w:rPr>
        <w:t>E. 1</w:t>
      </w:r>
    </w:p>
    <w:p>
      <w:r>
        <w:t>Ressortissant portugais au bénéfice d’un permis C, K.________ est né en 1986 à Cunha au Portugal. Sa famille s’est établie en Suisse lorsqu’il avait deux ans. Après sa scolarité obligatoire et l’obtention de son certificat de fin d’études, le prévenu a commencé plusieurs préapprentissages, sans toutefois acquérir de formation professionnelle. Il a ensuite travaillé comme plâtrier-peintre jusqu’en 2016. Par la suite, il a été mis au bénéfice d’une rente d’invalidité d’un montant d’environ 1'500 fr. par mois. Il n’a pas d’économies et fait l’objet de poursuites pour un montant d’environ 100'000 fr. selon ses dires. Avant son arrestation, il était hébergé par une connaissance, ayant dû quitter son appartement à la fin du mois de septembre 2024. Le prévenu est le père de trois enfants nés en 2006, 2009 et 2014 qui vivent avec leur mère, W.________. Il vit séparé de celle-ci depuis le début de l’année 2023. Le casier judiciaire de K.________ mentionne l’inscription suivante : - 17 décembre 2007, Cour de cassation pénale, Lausanne, 40 mois de peine privative de liberté, sous déduction de 398 jours de détention avant jugement, amende de 600 fr., pour vol simple, dommages à la propriété, violation des règles de la circulation routière, contravention à la loi fédérale sur les stupéfiants, vol en bande, agression, actes d’ordre sexuel avec un enfant, violation de domicile, conduite d’un véhicule sans moteur en étant dans l’incapacité de conduire, lésions corporelles simples avec un moyen dangereux, lésions corporelles simples, viol, vol simple (tentative inachevée), libération conditionnelle le 13 octobre 2008, le solde de la peine étant d’un an un mois et dix jours, délai d’épreuve jusqu’au 1er décembre 2009 avec assistance de probation et règles de</w:t>
      </w:r>
    </w:p>
    <w:p>
      <w:r>
        <w:t>- 12 - conduite, avertissement prononcé le 23 novembre 2009 par le Juge d’instruction du Nord vaudois. Pour les besoins de la cause, K.________ a été détenu provisoirement du 21 au 22 mai 2024. Il a été à nouveau placé en détention provisoire dès le 11 novembre 2024. Il a passé 25 jours dans les locaux de la police.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A Yverdon-les-Bains, [...], entre le 27 et le 29 février 2024, K.________ a pénétré sans droit dans la cave du café-restaurant Z.________ en forçant la porte de celle-ci et y a dérobé des produits alimentaires et des boissons pour un montant total de 2'797 francs. Le café-restaurant Z.________, par sa représentante qualifiée U.________, a déposé une plainte pénale le 1er mars 2024. Il l’a retirée le 9 mai suivant, prenant des conclusions civiles en versement d’un montant de 2'470 fr. 97.</w:t>
      </w:r>
    </w:p>
    <w:p>
      <w:r>
        <w:rPr>
          <w:b/>
        </w:rPr>
        <w:t>E. 2.2</w:t>
      </w:r>
    </w:p>
    <w:p>
      <w:r>
        <w:t>Dans le canton de Vaud notamment, entre le 25 février 2022, les faits antérieurs étant prescrits, et le 11 novembre 2024, date de son interpellation, K.________ a consommé de la cocaïne de manière hebdomadaire. Dans le canton de Vaud notamment, entre le début du mois de novembre 2024 et le 11 novembre 2024, date de son interpellation, K.________ a consommé à quatre ou cinq reprises du Crystal meth.</w:t>
      </w:r>
    </w:p>
    <w:p>
      <w:r>
        <w:rPr>
          <w:b/>
        </w:rPr>
        <w:t>E. 2.3</w:t>
      </w:r>
    </w:p>
    <w:p>
      <w:r>
        <w:t>A Yverdon-les-Bains, [...] notamment, entre le 19 et le 20 mai 2024, K.________ a, pour le compte d’un tiers, entreposé à son domicile de la résine de cannabis et de la marijuana totalisant 98 grammes bruts qui étaient destinés à la vente.</w:t>
      </w:r>
    </w:p>
    <w:p>
      <w:r>
        <w:rPr>
          <w:b/>
        </w:rPr>
        <w:t>E. 2.4</w:t>
      </w:r>
    </w:p>
    <w:p>
      <w:r>
        <w:t>A Yverdon-les-Bains, [...], le 17 septembre 2024, K.________ a refusé de se légitimer auprès de la police, alors que celle-ci lui demandait</w:t>
      </w:r>
    </w:p>
    <w:p>
      <w:r>
        <w:t>- 13 - son identité, intervenant à la suite d’un litige au sein d’un couple qui aurait éclaté dans la rue et qui aurait été dénoncé par une passante. Le prévenu a indiqué à la police qu’il lui faudrait des renforts si elle souhaitait l’identifier.</w:t>
      </w:r>
    </w:p>
    <w:p>
      <w:r>
        <w:rPr>
          <w:b/>
        </w:rPr>
        <w:t>E. 2.5</w:t>
      </w:r>
    </w:p>
    <w:p>
      <w:r>
        <w:t>A Yverdon-les-Bains, [...], entre le 22 septembre 2024 vers 18h00 et le 23 septembre 2024 vers 10h05, K.________, accompagné d’E.________ (déféré séparément) et d’une prénommée [...] (non identifiée à ce jour), a pénétré par effraction dans le local des machines électroniques du bar O.________, en forçant et en endommageant une porte coulissante, dans le but de dérober des objets et valeurs. Il a toutefois quitté les lieux sans rien emporter. Le bar O.________, par son représentant qualifié T.________, a déposé une plainte pénale et s’est constitué partie plaignante le 23 septembre 2024.</w:t>
      </w:r>
    </w:p>
    <w:p>
      <w:r>
        <w:rPr>
          <w:b/>
        </w:rPr>
        <w:t>E. 2.6</w:t>
      </w:r>
    </w:p>
    <w:p>
      <w:r>
        <w:t>A Yverdon-les-Bains, [...], le 10 novembre 2024 entre 18h42 et 18h46, K.________, accompagné de H.________ (déféré séparément), a pénétré sans droit dans l’immeuble sis à cette adresse. Une fois à l’intérieur, le prévenu a pénétré sans droit et par effraction dans la cave du commerce L.________, en forçant et en endommageant un rideau métallique. Le prévenu et son comparse ont dérobé deux valises et des victuailles, avant de quitter les lieux. L.________, par sa représentante qualifiée A.________, a déposé une plainte pénale et s’est constitué partie plaignante le 10 novembre 2024. En d roit : 1. Interjeté dans les formes et délais légaux (art. 399 CPP) par une partie qui a la qualité pour recourir contre le jugement d'un tribunal</w:t>
      </w:r>
    </w:p>
    <w:p>
      <w:r>
        <w:t>- 14 - de première instance ayant clos la procédure (art. 398 al. 1 CPP), l’appel est recevable.</w:t>
      </w:r>
    </w:p>
    <w:p>
      <w:r>
        <w:rPr>
          <w:b/>
        </w:rPr>
        <w:t>E. 3.1</w:t>
      </w:r>
    </w:p>
    <w:p>
      <w:r>
        <w:t>Invoquant une violation des art. 5 annexe I ALPC (Accord entre la Confédération suisse, d’une part, et la Communauté européenne et ses Etats membres, d’autre part, sur la libre circulation des personnes du 21 juin 1999 ; RS 0.142.112.681), 190 Cst., 5 al. 2 Cst., 8 CEDH et, subsidiairement 66a al. 2 CP, l'appelant conteste son expulsion. Il explique qu’il a passé la quasi-totalité de sa vie en Suisse, qu’il est au bénéfice d'une rente Al, raison pour laquelle il ne pourrait pas travailler, que toute sa famille vivrait en Suisse, qu'il souhaiterait renouer avec ses enfants dès lors qu'il serait maintenant sevré, qu'il ne se serait plus rendu au Portugal depuis qu'il est majeur, qu'il n'y aurait aucun contact, que les infractions qu’il a commises seraient en lien direct avec ses problèmes d’addiction, qu'il ne consommerait plus et qu’il ne représenterait plus une menace pour la sécurité publique. Pour l’ensemble de ces motifs, son intérêt privé à rester en Suisse primerait l’intérêt public à son expulsion.</w:t>
      </w:r>
    </w:p>
    <w:p>
      <w:r>
        <w:t>- 15 -</w:t>
      </w:r>
    </w:p>
    <w:p>
      <w:r>
        <w:rPr>
          <w:b/>
        </w:rPr>
        <w:t>E. 3.2.1</w:t>
      </w:r>
    </w:p>
    <w:p>
      <w:r>
        <w:t>Aux termes de l'art. 66a al. 1 let. d CP, le juge expulse de Suisse l'étranger qui est notamment condamné pour vol (art. 139 CP) en lien avec une violation de domicile (art. 186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w:t>
      </w:r>
    </w:p>
    <w:p>
      <w:r>
        <w:rPr>
          <w:b/>
        </w:rPr>
        <w:t>E. 3.2.2</w:t>
      </w:r>
    </w:p>
    <w:p>
      <w:r>
        <w:t>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w:t>
      </w:r>
    </w:p>
    <w:p>
      <w:r>
        <w:t>- 16 -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w:t>
      </w:r>
    </w:p>
    <w:p>
      <w:r>
        <w:rPr>
          <w:b/>
        </w:rPr>
        <w:t>E. 3.2.3</w:t>
      </w:r>
    </w:p>
    <w:p>
      <w:r>
        <w:t>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w:t>
      </w:r>
    </w:p>
    <w:p>
      <w:r>
        <w:t>- 17 - que le séjour et la scolarité achevée en Suisse sont courts, de sorte que l'intérêt privé à rester en Suisse doit être considéré comme moins fort (ATF 146 IV 105 consid. 3.4.4 ; TF 6B_1247/2023 du 10 juin 2024 consid. 1.2.2).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par.1 CEDH et, par conséquent, que son expulsion l'expose à une situation personnelle grave (TF 6B_221/2025 du 4 avril 2025 consid. 1.1.4 ; TF 6B_514/2024 du 17 février 2025 consid. 3.4.2 ; TF 6B_327/2024 du 11 décembre 2024 consid. 4.4).</w:t>
      </w:r>
    </w:p>
    <w:p>
      <w:r>
        <w:rPr>
          <w:b/>
        </w:rPr>
        <w:t>E. 3.2.4</w:t>
      </w:r>
    </w:p>
    <w:p>
      <w:r>
        <w:t>Selon la jurisprudence du Tribunal fédéral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w:t>
      </w:r>
    </w:p>
    <w:p>
      <w:r>
        <w:t>- 18 -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la protection de l'intégrité physique (ATF 145 IV 364 consid. 3.5.2 ; ATF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et le principe de proportionnalité (ATF 145 IV 364 consid. 3.5.2). L'exigence de la mise en danger actuelle n'implique pas qu'il faille s'attendre avec certitude à d'autres infractions, ou au contraire, que celles-ci soient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Les restrictions à la libre circulation au sens de l'art.</w:t>
      </w:r>
    </w:p>
    <w:p>
      <w:r>
        <w:rPr>
          <w:b/>
        </w:rPr>
        <w:t>E. 3.3</w:t>
      </w:r>
    </w:p>
    <w:p>
      <w:r>
        <w:t>L’intérêt de l’appelant à pouvoir demeurer en Suisse est important. Il s’y est installé avec sa famille, alors qu'il n'était âgé que de deux ans. Il y a ainsi passé la quasi-totalité de sa vie. Il y a effectué toute sa scolarité obligatoire et travaillé durant plusieurs années notamment comme plâtrier-peintre. On ne saurait lui reprocher un défaut d'intégration en raison de l'absence de travail, dès lors qu'il est désormais au bénéfice</w:t>
      </w:r>
    </w:p>
    <w:p>
      <w:r>
        <w:t>- 19 - d'une rente d’invalidité à cause de problèmes de santé mentale. Ses parents, ses deux frères et ses trois enfants, âgés de 18, 15 et 10 ans, habitent en Suisse. Avant son incarcération, le prévenu habitait avec ses parents et ses deux frères. Il va retourner chez eux à sa sortie de détention. Il a limité les contacts avec ses trois enfants après sa séparation en raison de ses problèmes de drogue et d'alcool. Il est sevré en prison et souhaite renouer avec ses enfants, leur ayant écrit à la fin de l’année 2024 pour leur donner des explications sur sa situation. Ses liens avec son pays d'origine ne sont pas très étroits. Le prévenu parle le portugais, mais ne l’écrit pas. Il se rendait au Portugal une fois par année avec ses parents lorsqu'il était enfant. Il n'y est plus retourné une fois majeur, excepté pour se rendre à deux enterrements. Il a encore un oncle âgé et des cousins là-bas, mais n'a pas de contact avec eux. Ordonner l’expulsion de K.________ dans ces circonstances le mettrait sans conteste dans une situation personnelle grave. L’appelant a déjà été condamné en 2007. On peut toutefois relativiser cette précédente condamnation, puisque quasiment 20 ans se sont écoulés depuis. Le prévenu est désormais condamné pour vol, tentative de vol, dommages à la propriété, violation de domicile, empêchement d'accomplir un acte officiel, infraction et contravention à la loi fédérale sur les stupéfiants à une peine privative de liberté de onze mois. Dans le cadre de la présente affaire, il a commis de nouvelles infractions, alors que la procédure pénale était déjà ouverte à son encontre, ce qui est inquiétant. Lors de son audition du 22 mai 2024, il avait en outre été informé que les cambriolages commis par les étrangers étaient généralement sanctionnés par une expulsion du territoire suisse pour une durée de cinq à quinze ans. Cet avertissement n'a pas eu d'effet. Le prévenu explique que les faits sont à mettre en lien avec sa consommation de drogue, dès lors qu’il était retombé dans d'anciens travers en 2023. Il ressort de ses auditions en cours d'instruction que la mère de ses enfants lui a demandé de partir en raison de sa consommation de drogue, qu'il consommait régulièrement drogue et alcool depuis environ 2020, qu'il ne voulait pas que ses enfants le voient dans cet état et qu'il avait arrêté de voir sa psychiatre depuis qu’il s’était</w:t>
      </w:r>
    </w:p>
    <w:p>
      <w:r>
        <w:t>- 20 - séparé. On peut admettre un lien entre les infractions commises et les consommations de l'appelant. Ce dernier affirme être sevré en détention, ce qui est normal, compte tenu du cadre contenant dans lequel il se trouve. Selon le Service de médecine et psychiatrie pénitentiaires, il a bénéficié depuis son incarcération d’un schéma de sevrage, d’un suivi infirmier régulier et d’une prise en charge médicale psychiatrique. Il se montre collaborant et souhaite poursuivre une prise en charge à l’extérieur de la prison (P. 46). Aux débats d’appel, l’appelant a affirmé que ces traitements lui étaient bénéfiques et qu’ils lui permettaient de réaliser des choses qu’il ne pouvait pas faire auparavant. Il a également expliqué qu’il souhaitait renouer avec ses enfants. A cet égard, W.________, ancienne compagne de l’appelant, a écrit à la Cour de céans pour exprimer son désaccord avec l’expulsion du prévenu, expliquant que cette mesure empêcherait leurs enfants de reconstruire des liens avec lui (P. 45/1). Enfin, le prévenu a également entrepris des démarches et écrit à diverses institutions pour bénéficier d’un suivi une fois sorti de détention (cf. P. 45/2). Au vu de l’ensemble des éléments qui précède, on peut exclure une mise en danger suffisamment importante et actuelle de l'ordre public par l'appelant. Il faut ainsi retenir que l'intérêt privé du prévenu à demeurer en Suisse l’emporte sur les intérêts publics à son expulsion. Partant, les éléments recueillis sont suffisants pour faire application de la clause de rigueur et renoncer à ordonner l’expulsion de K.________ du territoire suisse. L’appel de K.________ doit ainsi être admis. 4. Conformément à l’art. 51 CP, la détention subie depuis le jugement de première instance sera déduite de la peine infligée à l’appelant. A l’instar de ce qu’a retenu le premier juge (jugement attaqué p. 15), il convient d’ordonner le maintien de l’appelant en détention pour des motifs de sûreté afin de garantir l’exécution de la peine.</w:t>
      </w:r>
    </w:p>
    <w:p>
      <w:r>
        <w:t>- 21 -</w:t>
      </w:r>
    </w:p>
    <w:p>
      <w:r>
        <w:rPr>
          <w:b/>
        </w:rPr>
        <w:t>E. 5</w:t>
      </w:r>
    </w:p>
    <w:p>
      <w:r>
        <w:t>En définitive, l’appel de K.________ doit être admis et le jugement entrepris réformé dans le sens du considérant 3.3 ci-dessus. Me Milena Vaucher-Chiari, défenseur d’office de K.________, a produit une liste d’opérations faisant état de 18 heures et demie d’activité d’avocat, y compris la durée de l’audience d’appel estimée à 2 heures, de trois vacations et de débours forfaitaires à hauteur de 2 % des honoraires, TVA à 8,1 % en sus. Les opérations annoncées sont excessives. Compte tenu de la connaissance du dossier acquise en première instance et du fait que l’appel était limité à la question de l’expulsion de l’appelant, il y a lieu de réduire de 3 heures la durée consacrée à la rédaction du mémoire d’appel motivé (5 heures) et de 2 heures la durée dévolue à la préparation de l’audience (3 heures). Enfin, pour tenir compte de la durée effective des débats d’appel, il convient de retrancher encore 30 minutes. C’est ainsi une indemnité de 2'969 fr. 30, correspondant à 13 heures d’activité d’avocat au tarif horaire de 180 fr., par 2’340 fr., à des débours forfaitaires à hauteur de 2 % des honoraires admis (art. 3bis RAJ [règlement sur l’assistance judiciaire en matière civile du 7 décembre 2010 ; BLV 211.02.3], applicable par renvoi de l’art. 26b TFIP [tarif des frais de procédure et indemnités en matière pénale du 28 septembre 2010 ; BLV 312.03.1]), par 46 fr. 80, à trois vacations à 120 fr. chacune, et à la TVA au taux de 8,1 %, par 222 fr. 50, qui sera allouée à Me Milena Vaucher-Chiari pour la procédure d’appel. Vu l’issue de la cause, les frais de la procédure d’appel, par 5'099 fr. 30, constitués en l’espèce de l'émolument de jugement, par 2’130 fr. (art. 21 al. 1 et 2 TFIP), ainsi que de l’indemnité allouée au défenseur d’office de K.________, par 2'969 fr. 30, seront laissés à la charge de l’Etat.</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