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PE24.024023 vom 21. November 2024</w:t>
      </w:r>
    </w:p>
    <w:p>
      <w:r>
        <w:t>VD Tribunal cantonal, 2024-11-21, FR</w:t>
      </w:r>
    </w:p>
    <w:p>
      <w:r>
        <w:rPr>
          <w:b/>
        </w:rPr>
        <w:t xml:space="preserve">Quelle: </w:t>
      </w:r>
      <w:r>
        <w:t>https://mcp.opencaselaw.ch/entscheid/vd_gerichte_PE24.024023</w:t>
      </w:r>
    </w:p>
    <w:p>
      <w:r>
        <w:t>FR: VD_GERICHTE PE24.024023 du 21 novembre 2024</w:t>
      </w:r>
    </w:p>
    <w:p>
      <w:r>
        <w:t>IT: VD_GERICHTE PE24.024023 del 21 novembre 2024</w:t>
      </w:r>
    </w:p>
    <w:p>
      <w:pPr>
        <w:pStyle w:val="Heading2"/>
      </w:pPr>
      <w:r>
        <w:t>Erwägungen</w:t>
      </w:r>
    </w:p>
    <w:p>
      <w:r>
        <w:rPr>
          <w:b/>
        </w:rPr>
        <w:t>E. 3</w:t>
      </w:r>
    </w:p>
    <w:p>
      <w:r>
        <w:t>A [...] notamment, entre le 7 août 2024, les faits antérieurs étant couverts par la condamnation prononcée le 6 août 2024 (cf. casier, jugement 6), et le 8 novembre 2024, date de son interpellation, S.________ a consommé du crack, du haschich, de la marijuana et du Tramadol, sans être au bénéfice d'une ordonnance médicale s'agissant de ce dernier produit.</w:t>
      </w:r>
    </w:p>
    <w:p>
      <w:r>
        <w:rPr>
          <w:b/>
        </w:rPr>
        <w:t>E. 3.1</w:t>
      </w:r>
    </w:p>
    <w:p>
      <w:r>
        <w:t>Le recourant ne conteste pas l’existence de forts soupçons de culpabilité à son encontre, ni l’existence des risques de fuite et de récidive. Il conteste en revanche la réalisation d’un risque de collusion. Il affirme que rien au dossier ne permettrait de conclure qu’il connaissait les trois individus de type africain apparaissant sur les images de vidéosurveillance. En outre, la séquence entière issue de la vidéosurveillance permettrait de constater qu’il était initialement arrivé seul dans le passage sous-voie. Il ajoute que l’autorité inférieure n’aurait pas expliquer en quoi il résiderait un danger concret et sérieux de manœuvres propres à entraver la manifestation de la vérité.</w:t>
      </w:r>
    </w:p>
    <w:p>
      <w:r>
        <w:rPr>
          <w:b/>
        </w:rPr>
        <w:t>E. 3.2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w:t>
      </w:r>
    </w:p>
    <w:p>
      <w:r>
        <w:t>- 8 -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1B_132/2022 du 25 mars 2022 consid. 3.1 ; TF 1B_358/2021 du 16 juillet 2021 consid. 4.2).</w:t>
      </w:r>
    </w:p>
    <w:p>
      <w:r>
        <w:rPr>
          <w:b/>
        </w:rPr>
        <w:t>E. 3.3</w:t>
      </w:r>
    </w:p>
    <w:p>
      <w:r>
        <w:t>En l’espèce, le recourant perd de vue que l’enquête vient de débuter et que des mesures d’instruction doivent être conduites. Tout d’abord, le Ministère public a indiqué que des comparaisons allaient être effectuées au moyen de l’ADN et des empreintes digitales du recourant pour déterminer l’étendue de son activité délictuelle. A cet égard, au vu de ses importantes addictions, de son mode de vie ainsi que de ses maigres revenus, et en tenant compte de ses nombreux antécédents, il paraît vraisemblable que le recourant ait commis d’autres infractions pour financer sa consommation de produits stupéfiants. Ensuite, s’agissant spécifiquement des faits de la présente cause, on rappellera que le</w:t>
      </w:r>
    </w:p>
    <w:p>
      <w:r>
        <w:t>- 9 - prévenu ne les reconnaît que du bout des lèvres, lorsqu’il ne revient pas sur ses aveux. Il a en effet admis à plusieurs reprises à la police, le matin du 9 novembre 2024, avoir frappé P.________ dans le passage sous-voie le 6 novembre 2024, puis a contesté ces faits l’après-midi même devant la procureure, malgré les preuves matérielles qui l’accablent. Ses déclarations apparaissent ainsi peu fiables. A cela s’ajoute que lors de ce même épisode, il semble que le recourant n’ait pas agi seul et le Ministère public a précisé que les autres participants n’avaient pas encore pu être identifiés. Certes, le recourant semble être arrivé sans ses comparses dans le passage sous-voie. Il n’en demeure pas moins qu’ils ont agi de manière particulièrement coordonnée pour frapper et dévaliser la victime. Au vu du modus operandi, la probabilité que les agresseurs se soient mis d’accord paraît hautement vraisemblable. A ce stade de l’enquête, et quand bien même les séquences vidéo sont en possession du Ministère public, on ne saurait se fonder sur les déclarations du recourant qui affirme qu’il ne connait pas les autres individus. Enfin, le fait que les images soient en mains du parquet n’est pas de nature à empêcher le recourant de prendre contact avec ses comparses pour se concerter sur les faits précédents le brigandage et ultérieurs à celui-ci, ou simplement pour avertir les coauteurs que la police les cherche. Au demeurant, il ressort du procès-verbal des opérations, à la date du 19 novembre 2024, que le recourant est également mis en cause pour un vol dans une voiture, lors duquel deux paires de lunettes ont été dérobées, et qu’il n’a pas encore été entendu sur ces faits. Au vu des éléments qui précèdent, il est important que le recourant ne puisse pas prendre contact avec des tiers ou ne puisse détruire des moyens de preuve. Le risque de collusion est dès lors concret. 4.</w:t>
      </w:r>
    </w:p>
    <w:p>
      <w:r>
        <w:rPr>
          <w:b/>
        </w:rPr>
        <w:t>E. 4</w:t>
      </w:r>
    </w:p>
    <w:p>
      <w:r>
        <w:t>A [...] notamment, entre le 26 janvier 2024, les faits antérieurs étant couverts par la condamnation prononcée le 27 mars 2024 (cf. P. 6), et le 8 novembre 2024, date de son interpellation, S.________ a séjourné illégalement en Suisse. » c) Le prévenu a été appréhendé le 8 novembre 2024. Il a été entendu par la police le 9 novembre 2024 à 10 heures (PV aud. 2). A cette occasion, il a admis avoir donné des coups à P.________ et lui avoir volé « un étui à clapet pour mettre des cigarettes ». Il a précisé qu’un homme d’origine africaine avait également frappé la victime. Il a contesté avoir dérobé à celle-ci son portemonnaie, sa montre et son téléphone. Il a confirmé qu’il apparaissait sur les images de vidéosurveillance prises le 1er septembre 2024 dans le parking du [...], à [...], mais a contesté avoir volé quoique ce soit dans le véhicule d’G.________.</w:t>
      </w:r>
    </w:p>
    <w:p>
      <w:r>
        <w:t>- 4 - Son audition d’arrestation a eu lieu le jour même à 16 h 33 (PV aud. 3). Lors de celle-ci, il a indiqué à la procureure être entré dans le véhicule d’G.________ mais n’y avoir dérobé que des cigarettes. Il a cette fois-ci contesté avoir frappé P.________, ajoutant qu’il n’apparaissait pas sur les images de vidéosurveillance. d) Dans son rapport d’investigation du 9 novembre 2024, la Police municipale de Lausanne a conclu que les images de vidéosurveillance étaient éloquentes et permettaient d’établir que le prévenu s’était attaqué, en usant de violence, à P.________ pour le détrousser et qu’il était l’auteur du vol au préjudice d’G.________. Elle a en outre considéré qu’au vu de sa grande consommation de stupéfiants, il était évident que le prévenu avait volé pour s’approvisionner en drogue et que, ne semblant pas être sur la voie du sevrage et ne percevant qu’un maigre revenu, le risque de récidive était sans équivoque (P. 5, p. 6). B. a) Le 10 novembre 2024, le Ministère public, invoquant l’existence de soupçons suffisants de commission des infractions qui sont reprochées à S.________ et les risques de fuite, de collusion et de récidive simple, a requis la détention provisoire de celui-ci pour une durée de trois mois. Il a précisé que des investigations allaient être menées pour identifier les participants aux faits dont P.________ avait été victime et que des comparaisons allaient être effectuées au moyen de l’ADN et des empreintes digitales du prévenu afin de déterminer l’étendue de son activité délictuelle. b) Par déterminations du 11 novembre 2024, S.________, par son défenseur d’office, a conclu principalement, au rejet de la demande de mise en détention provisoire et, subsidiairement, au prononcé de mesures de substitution en lieu et place de celle-ci. Il a fait valoir qu’il devait purger 207 jours de détention relatifs à des précédentes condamnations et que l’exécution de ces peines serait à même de prévenir les risques de fuite et de récidive. Il a contesté l’existence d’un risque de collusion dès lors qu’il apparaissait sur les images de vidéosurveillance du 6 novembre 2024 qu’il n’était initialement pas en compagnie des hommes d’origine africaine, qui</w:t>
      </w:r>
    </w:p>
    <w:p>
      <w:r>
        <w:t>- 5 - étaient arrivés par un chemin opposé et qu’il ne connaissait au demeurant pas, ce qui ressortirait du contrôle de ses contacts et de sa correspondance. c) Par ordonnance du 11 novembre 2024, le Tribunal des mesures de contrainte a ordonné la détention provisoire de S.________ (I), a fixé la durée maximale de celle-ci à trois mois, soit au plus tard jusqu’au</w:t>
      </w:r>
    </w:p>
    <w:p>
      <w:r>
        <w:rPr>
          <w:b/>
        </w:rPr>
        <w:t>E. 4.1</w:t>
      </w:r>
    </w:p>
    <w:p>
      <w:r>
        <w:t>Le recourant soutient qu’en vertu du principe de la proportionnalité, l’autorité inférieure aurait dû l’autoriser à exécuter les peines privatives de liberté qu’il doit purger à titre de mesure de substitution à la détention provisoire. Il fait valoir que pour le cas où un</w:t>
      </w:r>
    </w:p>
    <w:p>
      <w:r>
        <w:t>- 10 - risque de collusion serait retenu, celui-ci pourrait être annihilé en ordonnant le contrôle de ses contacts et de sa correspondance.</w:t>
      </w:r>
    </w:p>
    <w:p>
      <w:r>
        <w:rPr>
          <w:b/>
        </w:rPr>
        <w:t>E. 4.2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145 IV 503 consid. 3.1 ;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145 IV 503 consid. 3.1 ; ATF 142 IV 367 consid. 2.1). Lorsque la détention provisoire ou pour des motifs de sûreté tend à pallier le risque de récidive, l’exécution d’une peine privative de liberté résultant d’une précédente condamnation constitue en principe une mesure de substitution adéquate (ATF 142 IV 367 consid. 2.2). Certes, dans le cadre du régime de l’exécution des peines, l’autorité compétente peut, dès la mi-peine et à certaines conditions, accorder au condamné un aménagement de travail externe (art. 77a al. 1 CP), des congés (art. 84 al. 6 CP), voire une éventuelle libération conditionnelle (art. 86 al. 4 CP) ; cependant, si une telle situation devait se réaliser, cela ne signifierait toutefois pas que le condamné exécutant une peine privative de liberté à titre de mesure de substitution à la détention provisoire et présentant un risque de récidive se trouverait remis en liberté ; en effet, dans sa décision, le juge de la détention peut prévoir, à titre de condition à la mesure de substitution, que le détenu sera à nouveau placé en détention provisoire – ou pour des mesures de sûreté, selon l’avancement de la procédure – si l’exécution des sanctions précédentes, respectivement l’aménagement de celles-ci, devait entraîner sa libération préalablement à</w:t>
      </w:r>
    </w:p>
    <w:p>
      <w:r>
        <w:t>- 11 - l’issue de la procédure ayant amené son placement en détention provisoire (ATF 142 IV 367 consid. 2.2 ; TF 1B_165/2012 du 12 avril 2012 consid. 2.3).</w:t>
      </w:r>
    </w:p>
    <w:p>
      <w:r>
        <w:rPr>
          <w:b/>
        </w:rPr>
        <w:t>E. 4.3</w:t>
      </w:r>
    </w:p>
    <w:p>
      <w:r>
        <w:t>En l’occurrence, comme on l’a vu, le risque de collusion est concret. L’exécution par le recourant des peines privatives de liberté qu’il doit purger ne constitue donc pas une mesure suffisante pour parer le risque de collusion. Dès lors que l’enquête n’est qu’à ses prémices, que des mesures d’instruction doivent être effectuées et que l’activité délictueuse du recourant n’est pas encore définie, il apparaît en outre qu’une surveillance de la correspondance et des contacts de celui-ci est également insuffisante. La requête du recourant est prématurée, celui-ci n’ayant été appréhendé que le 8 novembre 2024. A l’instar du Tribunal des mesures de contrainte, il y a lieu de considérer qu’aucune mesure de substitution à la détention n’est en l’état susceptible de pallier les risques retenus. 5. 5.1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 5.2 En l’espèce, le recourant est détenu depuis le 9 novembre 2024. Compte tenu des faits qui lui sont reprochés, de ses antécédents et du fait que l’infraction de brigandage est à elle seule passible d’une peine privative de liberté d’au minimum six mois, le recourant s'expose à une</w:t>
      </w:r>
    </w:p>
    <w:p>
      <w:r>
        <w:t>- 12 - peine privative de liberté d’une durée supérieure à celle de la détention subie à ce jour, et à subir jusqu’au 7 février 2025. Le principe de la proportionnalité est donc respecté. 6. En définitive, le recours, manifestement mal fondé, doit être rejeté, sans échange d'écritures (art. 390 al. 2 CPP), et l'ordonnance attaquée confirmée. Compte tenu de la nature de l’affaire et de l’acte de recours déposé, l’indemnité allouée au défenseur d’office de S.________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1'320 fr. (art. 20 al. 1 TFIP), et des frais imputables à la défense d’office de S.________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11 novembre 2024 est confirmée.</w:t>
      </w:r>
    </w:p>
    <w:p>
      <w:r>
        <w:t>- 13 - III. L’indemnité allouée au défenseur d’office de S.________ est fixée à 596 fr. (cinq cent nonante-six francs). IV. Les frais d’arrêt, par 1'320 fr. (mille trois cent vingt francs), ainsi que l’indemnité due au défenseur d’office de S.________, par 596 fr. (cinq cent nonante-six francs), sont mis à la charge de ce dernier. V. Le remboursement à l’Etat de l’indemnité allouée au chiffre III ci-dessus ne sera exigible que pour autant que la situation financière de S.________ le permette. VI. L’arrêt est exécutoire. Le président : Le greffier : Du Le présent arrêt, dont la rédaction a été approuvée à huis clos, est notifié, par l'envoi d'une copie complète, à : - Me Gaëtan-Charles Barraud, avocat (pour S.________), - Ministère public central, et communiqué à : - Mme la Présidente du Tribunal des mesures de contrainte, - Mme la Procureure de l’arrondissement du nord vaudois,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février 2025 (II), et a dit que les frais, par 375 fr., suivaient le sort de la cause au fond (III). Le tribunal a considéré que le prévenu avait plus ou moins reconnu les faits et était de toute manière mis en cause par les images de vidéosurveillance sans équivoque, de sorte que l’exigence de forts soupçons de commission d’un crime ou d’un délit était remplie. Il a ensuite indiqué que le risque de fuite était concret, compte tenu du statut illégal du prévenu en Suisse et de son absence d’attaches avec ce pays. Il a considéré que le risque de collusion était également concret puisque les images de vidéosurveillance laissaient apparaître que le prévenu n’avait pas agi seul au détriment de P.________ et qu’il se justifiait d’éviter qu’il ne prenne contact avec ses comparses, qu’il semblait parfaitement connaître et qui n’avaient pas encore pu être identifiés. Le tribunal a encore considéré qu’aucune mesure de substitution n’était susceptible de parer les risques retenus, au vu de leur intensité et de l’absence de tout statut fixe du prévenu en Suisse, et que compte tenu du risque de collusion existant, il n’était pas nécessaire d’examiner la conclusion subsidiaire du prévenu. Enfin, la durée de la détention sollicitée de trois mois était proportionnée au vu des mesures d’instruction annoncées par le Ministère public. C. Par acte du 15 novembre 2024, S.________, par son défenseur d’office, a recouru contre cette ordonnance en concluant, avec suite de frais et dépens, principalement, à sa réforme en ce sens qu’une mesure de substitution sous la forme de l’exécution des peines privatives de liberté prononcées les 22 avril et 6 août 2024 soit ordonnée en lieu et place de la détention et qu’il passe sous l’autorité de l’Office d’exécution des peines</w:t>
      </w:r>
    </w:p>
    <w:p>
      <w:r>
        <w:t>- 6 - en vue d’exécuter ces peines en milieu fermé, à charge pour cet office de renseigner la direction de la procédure sur la date de la reprise et sur la fin de l’exécution de ces peines, ainsi que sur tout élargissement envisagé. Subsidiairement, il a pris la même conclusion, étant précisé que l’Office d’exécution des peines procédera en outre à un contrôle systématique de ses contacts et de sa correspondance selon les directives de la direction de la procédure. Plus subsidiairement, il a conclu à l’annulation de l’ordonnance et au renvoi du dossier de la cause à l’autorité inférieure pour nouvelle décision dans le sens des considérants de l’arrêt à intervenir. Il n’a pas été ordonné d’échange d’écritures. En d roit : 1. Interjeté dans le délai légal (art. 396 al. 1 CPP [Code de procédure pénale suisse du 5 octobre 2007 ; RS 312.0]), contre une décision du Tribunal des mesures de contrainte dans un cas prévu par le Code de procédure pénale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Selon le nouvel art. 221 al. 1bis CPP, en vigueur depuis le 1er janvier 2024, la détention provisoire et la détention pour des motifs de sûreté peuvent exceptionnellement être ordonnées, aux conditions</w:t>
      </w:r>
    </w:p>
    <w:p>
      <w:r>
        <w:t>- 7 - suivantes : le prévenu est fortement soupçonné d’avoir porté gravement atteinte à l’intégrité physique, psychique ou sexuelle d’autrui en commettant un crime ou un délit grave (a) ; en outre, il y a un danger sérieux et imminent qu’il commette un crime grave du même genre (b). Enfin, la détention peut être ordonnée s’il y a sérieusement lieu de craindre qu’une personne passe à l’acte après avoir menacé de commettre un crime grave (art. 221 al. 2 CPP).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