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PE24.023992 vom 1. April 2025</w:t>
      </w:r>
    </w:p>
    <w:p>
      <w:r>
        <w:t>VD Tribunal cantonal, 2025-04-01, FR</w:t>
      </w:r>
    </w:p>
    <w:p>
      <w:r>
        <w:rPr>
          <w:b/>
        </w:rPr>
        <w:t xml:space="preserve">Quelle: </w:t>
      </w:r>
      <w:r>
        <w:t>https://mcp.opencaselaw.ch/entscheid/vd_gerichte_PE24.023992</w:t>
      </w:r>
    </w:p>
    <w:p>
      <w:r>
        <w:t>FR: VD_GERICHTE PE24.023992 du 1 avril 2025</w:t>
      </w:r>
    </w:p>
    <w:p>
      <w:r>
        <w:t>IT: VD_GERICHTE PE24.023992 del 1 aprile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les ordonnances entreprises ont été envoyées au recourant les 31 octobre et 22 novembre 2024. Contrairement à ce que prévoit l’art. 85 al. 2 CPP, elles ont été expédiées sous pli simple, de sorte qu’on en ignore la date de réception. Il s’ensuit qu’en l’absence d’élément contraire, il faut admettre que les recours, déposés le 28 novembre 2024, ont été interjetés en temps utile (cf. ATF 142 IV 125) et auprès de l’autorité compétente, par la partie plaignante qui a qualité pour recourir (art. 382 al. 1 CPP). Par ailleurs, les deux recours émanent du même recourant et ont trait au même complexe de faits. Il se justifie de joindre les procédures de recours et de ne rendre qu’un seul arrêt.</w:t>
      </w:r>
    </w:p>
    <w:p>
      <w:r>
        <w:rPr>
          <w:b/>
        </w:rPr>
        <w:t>E. 1.3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w:t>
      </w:r>
    </w:p>
    <w:p>
      <w:r>
        <w:t>- 5 -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1.4</w:t>
      </w:r>
    </w:p>
    <w:p>
      <w:r>
        <w:t>En l’espèce, les actes déposés par K.________ ne contiennent aucune motivation satisfaisant aux réquisits légaux. En effet, le recourant n’essaie nullement de démontrer en quoi les ordonnances contestées seraient erronées en fait ou en droit, mais se contente de rappeler les faits de la cause qui se sont produits en 1991. Il n'explique ainsi pas en quoi l'appréciation du procureur serait erronée et quels motifs commanderaient, en fait et en droit, une décision différente. Un tel défaut de motivation ne saurait par ailleurs justifier qu’un délai supplémentaire</w:t>
      </w:r>
    </w:p>
    <w:p>
      <w:r>
        <w:t>- 6 - soit imparti au recourant pour compléter ses actes en application de l’art. 385 al. 2 CPP. Au vu de ce qui précède, il apparaît que les recours sont irrecevables, faute de répondre aux exigences de motivation requises par l'art. 385 al. 1 CPP. Au demeurant, comme l’a relevé le Ministère public, les faits dénoncés par K.________ remontent à plus de trente ans et, à supposer qu’ils soient pénaux, ils seraient de toute manière prescrits, de sorte que c’est à juste titre que le Ministère public a refusé d’entrer en matière sur les plaintes de l’intéressé, en application de l’art. 310 CPP.</w:t>
      </w:r>
    </w:p>
    <w:p>
      <w:r>
        <w:rPr>
          <w:b/>
        </w:rPr>
        <w:t>E. 2</w:t>
      </w:r>
    </w:p>
    <w:p>
      <w:r>
        <w:t>En définitive, les recours de K.________ doivent être déclarés irrecevables sans échange d'écritures (art. 390 al. 2 CPP). Vu l’issue de la cause, les frais de la procédure de recours, constitués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Les recours dans les affaires PE24.022702 et PE24.023992 sont joints. II. Les recours sont irrecevables. III. Les frais d’arrêt, par 660 fr. (six cent soixante francs), sont mis à la charge de K.________. IV. L’arrêt est exécutoire. Le président : La greffière :</w:t>
      </w:r>
    </w:p>
    <w:p>
      <w:r>
        <w:t>- 7 - Du Le présent arrêt, dont la rédaction a été approuvée à huis clos, est notifié, par l'envoi d'une copie complète, à : - K.________, - Ministère public central, et communiqué à : - M. le Premier Procureur de l'arrondissement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