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PE24.023724 vom 17. November 2025</w:t>
      </w:r>
    </w:p>
    <w:p>
      <w:r>
        <w:t>VD Tribunal cantonal, 2025-11-17, FR</w:t>
      </w:r>
    </w:p>
    <w:p>
      <w:r>
        <w:rPr>
          <w:b/>
        </w:rPr>
        <w:t xml:space="preserve">Quelle: </w:t>
      </w:r>
      <w:r>
        <w:t>https://mcp.opencaselaw.ch/entscheid/vd_gerichte_PE24.023724</w:t>
      </w:r>
    </w:p>
    <w:p>
      <w:r>
        <w:t>FR: VD_GERICHTE PE24.023724 du 17 novembre 2025</w:t>
      </w:r>
    </w:p>
    <w:p>
      <w:r>
        <w:t>IT: VD_GERICHTE PE24.023724 del 17 novembre 2025</w:t>
      </w:r>
    </w:p>
    <w:p>
      <w:pPr>
        <w:pStyle w:val="Heading2"/>
      </w:pPr>
      <w:r>
        <w:t>Erwägungen</w:t>
      </w:r>
    </w:p>
    <w:p>
      <w:r>
        <w:rPr>
          <w:b/>
        </w:rPr>
        <w:t>E. 35</w:t>
      </w:r>
    </w:p>
    <w:p>
      <w:r>
        <w:t>de la loi sur la protection des données. Il reprochait à L.________ ou ses collaborateurs de l’avoir « vraisemblablement diffamé » en transmettant le rapport litigieux à des tiers tout en sachant que l’information contenue pouvait ruiner sa renommée. La diffamation consistait dans le rapport établi entre lui et un médecin connu pour le dopage, élément qui était très nuisible à sa réputation. La transmission à des autorités étrangères de données personnelles sensibles, non véridiques et sans aucune justification, violait en outre la loi fédérale du 19 juin 1992 sur la protection des données (aLPD ; RS 235.1). Enfin, il reprochait à la K.________ d’avoir détruit des données le concernant, selon lui pour éviter de devoir le dédommager ou pour améliorer leur position juridique. Il a requis une nouvelle audition d’L.________, en présence de son conseil, ainsi que les auditions de [...], directrice au moment où Z.________ avait été mandatée, soit avant L.________, et d’T.________, responsable de l’informatique à la K.________. En décembre 2024, X.________ a finalement obtenu une copie du rapport de Z.________ dans le cadre d’une procédure civile. B. Par ordonnance du 19 mai 2025, le Ministère public de l’arrondissement de l’Est vaudois (ci-après : Ministère public) n’est pas entré en matière et a laissé les frais à la charge de l’Etat. En substance, la Procureure a considéré que la plainte reposait sur des suppositions pour le moins floues et que les soupçons n’étaient étayés par aucun élément concret. De son propre aveu, le plaignant n’avait jamais eu connaissance du rapport litigieux transmis à des tiers par la K.________. Quand bien même celui-ci évoquerait un lien entre le plaignant et un médecin connu pour du dopage – comme cela semblait ressortir des articles de presse, qui devaient être appréciés avec prudence –, ce fait n’apparaissait pas suffisant pour être constitutif d’une atteinte à l’honneur au sens pénal. En tout état de cause, il ressortait des</w:t>
      </w:r>
    </w:p>
    <w:p>
      <w:r>
        <w:t>- 5 - explications d’L.________ qu’il avait adressé le rapport de manière sécurisée et confidentielle à un cercle restreint de personnes directement concernées par l’affaire, que le rapport avait été transmis aux agences nationales antidopage accompagné d’une note établie par la K.________ qui concluait à l’absence d’élément substantiel à l’encontre de X.________, et que la transmission se justifiait par l’étroite collaboration qui liait les organismes dans le cadre de leurs activités et répondait aux réglementations antidopage en vigueur. Aucune intention de porter atteinte à l’honneur ou à la réputation du plaignant ne pouvait ainsi être imputée à la K.________. Pour les mêmes motifs, aucune violation de l’ancienne loi fédérale sur la protection des données n’entrait en considération. S’agissant des accusations de détérioration de données et de suppression de titres, il ressortait du rapport de police du 29 janvier 2024 qu’T.________ avait indiqué que le contenu des ordinateurs utilisés par la K.________ avait été effacé et les comptes démantelés. On ignorait ainsi tout de la nature et du contenu des éléments supprimés et rien ne permettait d’établir qu’ils avaient été effacés sans droit ou qu’il s’agissait de titres au sens de l’art. 254 CP. Une telle suppression n’apparaissait au demeurant pas surprenante au vu du fait que la K.________ avait cessé ses activités en 2021. C. Par acte du 2 juin 2025, par son conseil de choix, X.________ a recouru contre cette ordonnance, concluant à son annulation et au renvoi de la cause au Ministère public pour qu’il ouvre une instruction, frais et indemnités à la charge de l’Etat. A l’appui de son recours, il a produit un bordereau de pièces. Par avis du 11 juin 2025, la direction de la procédure a imparti à X.________ un délai au 1er juillet 2025 pour effectuer un dépôt de 770 fr. à titre de sûretés. Le paiement a été effectué en temps utile. Par courrier du 25 septembre 2025, le Ministère public a indiqué qu’il n’entendait pas déposer de déterminations.</w:t>
      </w:r>
    </w:p>
    <w:p>
      <w:r>
        <w:t>- 6 - Par courrier du 6 novembre 2025, la direction de la procédure a demandé au conseil de X.________ de se déterminer sur la recevabilité du recours, au regard du timbre « RICEVUTO 20 MAG. 2025 » apposé sur l’ordonnance querellée. Par courrier du 7 novembre 2025, Me Anne Schweikert a indiqué qu’« une collaboratrice à apposée le timbre incorrect sur le décret (sic)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L’ordonnance querellée produite à l’appui du recours (P. 12/1) porte un timbre avec la mention « RICEVUTO 20 MAG. 2025 » (trad. lit. « reçu le 20 mai 2025 »). L’avocate du recourant a toutefois indiqué dans son recours avoir reçu l’ordonnance en question le 21 mai 2025. Interpellée à ce sujet par la direction de la procédure, l’avocate a indiqué par courrier du 7 novembre 2025 qu’une de ses collaboratrices aurait apposé un timbre incorrect. L’ordonnance attaquée, du 19 mai 2025, n’a pas été envoyée par courrier recommandé, mais sous pli simple, de sorte que la date de la notification ne peut être établie. Dans cette situation, l’autorité doit se fonder sur les déclarations du destinataire de la communication. La preuve de la notification peut néanmoins résulter d'autres indices ou de l'ensemble des circonstances, par exemple un</w:t>
      </w:r>
    </w:p>
    <w:p>
      <w:r>
        <w:t>- 7 - échange de correspondance ultérieur ou le comportement du destinataire (ATF 142 IV 125 consid. 4.3). En l’espèce, il sera retenu, non sans hésitation, que l’ordonnance a été notifiée le 21 mai 2025. Le recours a ainsi été interjeté en temps utile. Il a par ailleurs été soumis dans les formes prescrites (art. 385 al. 1 CPP), auprès de l’autorité compétente, par la partie plaignante qui a qualité pour recourir (art. 382 CPP). Dès lors, il est recevable. Les pièces nouvelles produites le sont également (art. 389 al. 3 CPP). 2. 2.1 Invoquant une violation du principe in dubio pro duriore, de l’art. 173 CP et de l’ancienne loi fédérale sur la protection des données, le recourant fait valoir que les affirmations contenues dans le rapport litigieux – tant en ce qu’elles ressortaient des articles de presse qui le relataient que, surtout, du rapport lui-même – seraient diffamatoires à son encontre. L’établissement d’un lien entre un [...] et le « médecin du doping » porterait à l’évidence atteinte à son honneur. Rien ne justifierait au demeurant que ces affirmations aient été transmises aux différentes entités étrangères, ainsi qu’admis par L.________. Au sujet de cette transmission, le Ministère public avait retenu qu’elle était accompagnée d’une note explicative. Or, celle-ci n’avait jamais été produite et on en ignorait donc tant l’existence que le contenu, de sorte qu’on ne pouvait pas se fonder dessus. Enfin, il n’avait pas été établi sur la base de quelles règlementations antidopage lesdites transmissions avaient eu lieu. 2.2 2.2.1 Aux termes de l'art. 173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w:t>
      </w:r>
    </w:p>
    <w:p>
      <w:r>
        <w:t>- 8 -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 cit.).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Aussi, il est constant qu'en matière d'infractions contre l'honneur, les mêmes termes n'ont pas nécessairement la même portée suivant le contexte dans lequel ils sont employés (ATF 148 IV 409 consid. 2.3.2 ; ATF 145 IV 462 consid. 4.2.3 ; ATF 118 IV 248 consid. 2b).</w:t>
      </w:r>
    </w:p>
    <w:p>
      <w:r>
        <w:t>- 9 -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Le fait de s’adresser à un tiers est un élément constitutif de la diffamation (Rieben/Mazou, in : Macaluso et al. [éd.], Commentaire romand, Code pénal II, 2e éd. 2017, nn. 14 et 15 ad art. 173 CP ; Dupuis et al. [éd.], Petit commentaire, Code pénal, 2e éd. 2017, nn. 18 et 21 ad art. 173 CP). Du point de vue subjectif, il suffit que l'auteur ait eu conscience du caractère attentatoire à l'honneur de ses propos et qu'il les ait néanmoins proférés ; il n'est pas nécessaire qu'il ait eu la volonté de</w:t>
      </w:r>
    </w:p>
    <w:p>
      <w:r>
        <w:t>- 10 - blesser la personne visée (ATF 137 IV 313 consid. 2.1.6 ; TF 6B_767/2023 du 29 novembre 2023 consid. 4.1.1 ; TF 6B_479/2022 du 9 février 2023 consid. 5.1.1). 2.2.2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6B_1215/2020 précité ; TF 6B_1254/2019 précité ; TF 6B_676/2017 du 15 décembre 2017 consid. 3.1).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6B_1215/2020 précité ; TF 6B_1254/2019 précité). 2.2.3 Conformément à l’art. 14 CP, quiconque agit comme la loi l’ordonne ou l’autorise se comporte de manière licite, même si l’acte est punissable en vertu du présent code ou d’une autre loi. Selon la</w:t>
      </w:r>
    </w:p>
    <w:p>
      <w:r>
        <w:t>- 11 -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2011, n. 1.14 ad art. 173 CP).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 2.2.4 Selon l’art. 34 al. 1 let. a aLPD, étaient sur plainte punies de l’amende les personnes privées qui contrevenaient aux obligations prévues aux art. 8 à 10 et 14 LPD, en fournissant intentionnellement des renseignements inexacts ou incomplets. L’art. 35 aLPD prévoyait qu’était, sur plainte, punissable de l’amende la personne qui, intentionnellement, révélait d’une manière illicite des données personnelles secrètes et sensibles ou des profils de la</w:t>
      </w:r>
    </w:p>
    <w:p>
      <w:r>
        <w:t>- 12 - personnalité portés à sa connaissance dans l’exercice d’une profession qui requerrait la connaissance de telles données. 2.3 En l’espèce, les articles de presse mentionnant le rapport litigieux faisaient expressément état d’un lien entre le recourant, explicitement nommé, et A.D.________, médecin notoirement associé au dopage de [...]. Le rapport en question, obtenu par le recourant après le dépôt de sa plainte, souligne que selon les renseignements de la K.________, X.________ ferait partie du programme de dopage de A.D.________. Il parvient à la conclusion que G.________ aurait été identifié à [...] début juin 2019 et photographié dans ce qui semblait être la maison de X.________, ce qui pourrait indiquer que les [...] soupçonnés de l’équipe E.________ se réunissaient à nouveau avec A.D.________ avant le Tour de France 2019. Contrairement à ce qu’a retenu le Ministère public, des soupçons de dopage portés à l’encontre d’un [...] professionnel, soit un acte contraire à l’éthique sportive et passible de sanctions, relèvent d’un comportement clairement réprouvé par les conceptions morales généralement admises et sont par nature propres à porter gravement atteinte à l’honneur et à la considération d’un athlète, même s’ils ont trait à son activité professionnelle. S’agissant de l’élément subjectif, le Ministère public a considéré qu’aucune intention de porter atteinte à l’honneur ou à la réputation du plaignant ne pouvait être imputée à la K.________. Or, la question n’est pas là. Il faut en effet se demander si L.________, respectivement ses collaborateurs, avaient conscience du caractère attentatoire à l'honneur des propos litigieux, mais les ont néanmoins adressés à des tiers. A ce stade, il n’est pas exclu que tel soit le cas, à tout le moins par dol éventuel. On relèvera par ailleurs qu’il n’est pour l’instant pas établi que le rapport a effectivement été transmis aux tiers accompagné d’une note établie par la K.________ et encore moins que ce rapport concluait à l’absence d’élément substantiel à l’encontre de X.________. En effet, dite note n’a jamais été produite ; son existence et son contenu se fondent uniquement sur les déclarations d’L.________, recueillies dans le cadre d’une procédure distincte.</w:t>
      </w:r>
    </w:p>
    <w:p>
      <w:r>
        <w:t>- 13 - La transmission à des tiers est avérée. L.________ a en effet admis avoir adressé le rapport aux agences nationales antidopage [...], [...] et [...], l’Office [...] et l’Unité [...] et avoir approuvé son partage par l’agence antidopage [...] avec la police [...], pour usage interne uniquement. Il est d’ailleurs surprenant que la K.________, pourtant mandatée par l’O.________ pour gérer son programme anti-dopage, ait décidé de ne pas adresser le rapport à cette dernière faute d’éléments substantiels à l’encontre du recourant, mais ait tout de même transmis cet écrit à un nombre conséquent d’entités étrangères. A cet égard, il n'a pas été établi sur la base de quelles « réglementations antidopage en vigueur » la transmission de ce rapport pouvait se justifier. Au vu de ce qui précède, la Procureure ne pouvait pas refuser d’entrer en matière sur la plainte déposée par X.________ pour diffamation et violation de l’ancienne loi sur la protection des données. Il y a lieu dès lors d’annuler l’ordonnance querellée et de renvoyer la cause au Ministère public pour qu’il ouvre une instruction, détermine si L.________, respectivement ses proches collaborateurs, avaient conscience – à tout le moins par dol éventuel – du caractère attentatoire à l'honneur des propos transmis, et définisse les motifs pour lesquels le rapport a été transmis à plusieurs entités étrangères, si une note exonérant le recourant a été jointe à l’envoi, cas échéant avec quel contenu, si des dispositions légales autorisaient la transmission du rapport aux entités qui l’ont reçu et cas échéant lesquelles et, au besoin, si les personnes dénoncées peuvent se prévaloir de la preuve de la vérité. 3. En définitive, le recours doit être admis, l’ordonnance querellée annulée et le dossier de la cause renvoyé au Ministère public pour procéder dans le sens des considérants qui précèdent. Vu l’admission du recours, les frais de procédure, constitués en l’espèce du seul émolument d’arrêt, par 1’430 fr. (art. 20 al. 1 et 2 TFIP [tarif des frais de procédure et indemnités en matière pénale du 28 septembre 2010 ; BLV 312.03.1]), seront laissés à la charge de l’Etat (art.</w:t>
      </w:r>
    </w:p>
    <w:p>
      <w:r>
        <w:t>- 14 - 428 al. 4 CPP). Le montant de 770 fr. versé par le recourant à titre de sûretés lui sera restitué (art. 383 al. 1 CPP ; art. 7 TFIP). Le recourant, qui obtient gain de cause et a procédé avec l’assistance d’un mandataire professionnel, a droit à l’octroi d’une indemnité pour les dépenses occasionnées par l’exercice raisonnable de ses droits pour la procédure de recours, à la charge de l’Etat (art. 433 al. 1 CPP, applicable par renvoi de l’art. 436 al. 1 CPP). Au vu du travail accompli par Me Anne Schweikert, il sera retenu trois heures d’activité nécessaire d’avocat au tarif horaire de 300 fr. (art. 26a al. 3 TFIP ; TF 7B_35/2022 du 22 février 2024, JdT 2024 III 61), soit 900 fr., auxquelles il faut ajouter 2 % pour les débours (art. 19 al. 2 TDC [tarif des dépens en matière civile du 23 novembre 2010 ; BLV 270.11.6] par renvoi de l'art. 26a al. 6 TFIP), soit 18 fr., et 8,1 % de TVA sur le tout, soit 74 fr. 40, ce qui correspond à un total de 993 fr. en chiffres arrondis. Par ces motifs, la Chambre des recours pénale prononce : I. Le recours est admis. II. L’ordonnance du 19 mai 2025 est annulée. III. Le dossier de la cause est renvoyé au Ministère public de l’arrondissement de l’Est vaudois pour qu’il procède dans le sens des considérants.</w:t>
      </w:r>
    </w:p>
    <w:p>
      <w:r>
        <w:t>- 15 - IV. Une indemnité de 993 fr. (neuf cent nonante-trois francs) est allouée à X.________ pour les dépenses obligatoires occasionnées par la procédure de recours, à la charge de l’Etat. V. Les frais d’arrêt, par 1’430 fr. (mille quatre cent trente francs), sont laissés à la charge de l’Etat. VI. L’avance de frais de 770 fr. (sept cent septante francs) versée par X.________ à titre de sûretés lui est restituée. VII. L’arrêt est exécutoire. Le président : La greffière : Du Le présent arrêt, dont la rédaction a été approuvée à huis clos, est notifié, par l'envoi d'une copie complète, à : - Me Anne Schweikert, avocate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