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PE24.023632 vom 19. August 2025</w:t>
      </w:r>
    </w:p>
    <w:p>
      <w:r>
        <w:t>VD Tribunal cantonal, 2025-08-19, FR</w:t>
      </w:r>
    </w:p>
    <w:p>
      <w:r>
        <w:rPr>
          <w:b/>
        </w:rPr>
        <w:t xml:space="preserve">Quelle: </w:t>
      </w:r>
      <w:r>
        <w:t>https://mcp.opencaselaw.ch/entscheid/vd_gerichte_PE24.023632</w:t>
      </w:r>
    </w:p>
    <w:p>
      <w:r>
        <w:t>FR: VD_GERICHTE PE24.023632 du 19 août 2025</w:t>
      </w:r>
    </w:p>
    <w:p>
      <w:r>
        <w:t>IT: VD_GERICHTE PE24.023632 del 19 agosto 2025</w:t>
      </w:r>
    </w:p>
    <w:p>
      <w:pPr>
        <w:pStyle w:val="Heading2"/>
      </w:pPr>
      <w:r>
        <w:t>Erwägungen</w:t>
      </w:r>
    </w:p>
    <w:p>
      <w:r>
        <w:rPr>
          <w:b/>
        </w:rPr>
        <w:t>E. 5.1</w:t>
      </w:r>
    </w:p>
    <w:p>
      <w:r>
        <w:t>L’appelante conteste la peine qui lui a été infligée en première instance. Elle fait à nouveau valoir qu’elle aurait agi sous l’ascendant des commanditaires, sans enrichissement personnel. Elle se prévaut également d’un repentir sincère et invoque les reconnaissances de dettes signées en audience.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13J010</w:t>
      </w:r>
    </w:p>
    <w:p>
      <w:r>
        <w:t>- 15 -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5.2.3</w:t>
      </w:r>
    </w:p>
    <w:p>
      <w:r>
        <w:t>L'art. 43 al. 1 CP, il prévoit que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13J010</w:t>
      </w:r>
    </w:p>
    <w:p>
      <w:r>
        <w:t>- 16 -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5.3</w:t>
      </w:r>
    </w:p>
    <w:p>
      <w:r>
        <w:t>En l’espèce, les raisons pour lesquelles il fallait écarter les explications de l’appelante au sujet des prétendues menaces subies et de la prétendue absence d’enrichissement personnel ont déjà été traitées ci- avant (cf. supra consid. 3.3). Pour le reste, les premiers juges ont considéré à juste titre que la culpabilité de la prévenue était lourde, car elle s’en était prise à des personnes vulnérables, pour un butin considérable, alors même qu’elle avait la possibilité de travailler honnêtement dans son domaine de formation. Elle avait donc agi par appât du gain et avec une absence crasse de scrupules. Seule son arrestation avait mis fin à son activité délictueuse. À décharge, les premiers juges ont pris en compte les regrets exprimés, les reconnaissances de dettes signées ainsi que l’effet de la détention sur la prévenue. Le tribunal de première instance a ainsi tenu compte adéquatement des éléments à charge et à décharge pour fixer la peine. Le repentir sincère (art. 48 let. d CP) est exclu pour celui qui ne veut pas s’expliquer complétement sur le véritable rôle endossé et la signature de reconnaissances de dettes ne comporte en l’état aucun sacrifie pour l’appelante qui exécute sa peine et a indiqué à l’audience d’appel ne pas encore avoir versé quoi que ce soit aux victimes. 13J010</w:t>
      </w:r>
    </w:p>
    <w:p>
      <w:r>
        <w:t>- 17 - En définitive, ce sont des peines privatives de liberté qui doivent venir sanctionner les actes de l’appelante, compte tenu de sa culpabilité et pour des motifs de prévention spéciale, la sanction pécuniaire et l’astreinte à un travail d’intérêt général prononcées le 24 novembre 2023 n’ayant pas eu l’effet dissuasif escompté. Une peine privative de liberté de 30 mois sera dès lors infligée à l’appelante pour l’infraction d’escroquerie par métier, infraction la plus grave. Cette peine doit être augmentée de 5 mois supplémentaires pour l’usurpation d’identité et de 1 mois pour le faux dans les certificats, la peine d’ensemble étant de 36 mois. Un sursis complet à l’exécution de la peine est exclu en raison de la quotité de la peine et la réduction de 6 mois pour la partie ferme de la sanction, demandée à titre subsidiaire par l’appelante, ne se justifie pas, pour les motifs déjà exposés ci-dessus, soit que la prise de conscience n’est pas achevée et qu’il est nécessaire, pour la favoriser, que l’appelante exécute 18 mois de privation de liberté.</w:t>
      </w:r>
    </w:p>
    <w:p>
      <w:r>
        <w:rPr>
          <w:b/>
        </w:rPr>
        <w:t>E. 6</w:t>
      </w:r>
    </w:p>
    <w:p>
      <w:r>
        <w:t>Il n’y a pas lieu de revenir sur l’expulsion de l’appelante pour une durée de 8 ans, fondée sur l’art. 66a al. 1 let. f CP, dès lors que celle-ci est pleinement justifiée et que l’appelante ne s’y est pas opposée.</w:t>
      </w:r>
    </w:p>
    <w:p>
      <w:r>
        <w:rPr>
          <w:b/>
        </w:rPr>
        <w:t>E. 7</w:t>
      </w:r>
    </w:p>
    <w:p>
      <w:r>
        <w:t>Au vu de ce qui précède, l’appel doit être rejeté et le jugement entrepris intégralement confirmé.</w:t>
      </w:r>
    </w:p>
    <w:p>
      <w:r>
        <w:rPr>
          <w:b/>
        </w:rPr>
        <w:t>E. 7.1</w:t>
      </w:r>
    </w:p>
    <w:p>
      <w:r>
        <w:t>Conformément à l’art. 51 CP, la peine subie par A.________ depuis le jugement de première instance est déduite et son maintien en détention pour des motifs de sûreté est ordonné en raison du risque de fuite qui persiste, celle-ci étant domiciliée en France.</w:t>
      </w:r>
    </w:p>
    <w:p>
      <w:r>
        <w:rPr>
          <w:b/>
        </w:rPr>
        <w:t>E. 7.2</w:t>
      </w:r>
    </w:p>
    <w:p>
      <w:r>
        <w:t>Le défenseur d’office de A.________ a produit en audience une liste d’opérations (P. 92) faisant état d’un temps consacré au dossier de 27h21, soit 19h04 d’activité d’avocat breveté et 7h47 d’activité d’avocat- stagiaire. Il convient de retrancher le temps annoncé pour les déplacements, les vacations devant être indemnisées à concurrence de 120 fr. pour l’avocat breveté et 80 fr. pour l’avocat-stagiaire. Il y a en outre lieu de tenir compte du temps effectif de l’audience d’appel et de réduire la 13J010</w:t>
      </w:r>
    </w:p>
    <w:p>
      <w:r>
        <w:t>- 18 - durée estimée de 1h30. C’est donc une durée de 15h04 qui sera indemnisée au tarif horaire d’avocat breveté de 180 fr., soit 2’712 fr., et de 5h27 au tarif horaire d’avocat-stagiaire de 110 fr., soit 599 fr. 50. A cela s’ajoutent les débours forfaitaires à concurrence de 2 %, par 66 fr. 25, une vacation à 120 fr. et une vacation à 80 fr., ainsi que la TVA sur le tout, par 289 fr. 80, pour un montant total de 3’867 fr. 55 qui sera alloué au défenseur d’office. Vu l’issue de la cause, les frais de la procédure d’appel, par 6’247 fr. 55, constitués des émoluments de jugement et d’audience, par 2’380 fr. (art. 21 al. 1 et 2 TFIP [tarif des frais de procédure et indemnités en matière pénale du 28 septembre 2010 ; BLV 312.03.1]), ainsi que de l’indemnité précitée, sont mis à la charge d’A.________, qui succombe (art. 428 al. 1 CPP). A.________ ne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