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PE24.023506 vom 28. Januar 2025</w:t>
      </w:r>
    </w:p>
    <w:p>
      <w:r>
        <w:t>VD Tribunal cantonal, 2025-01-28, FR</w:t>
      </w:r>
    </w:p>
    <w:p>
      <w:r>
        <w:rPr>
          <w:b/>
        </w:rPr>
        <w:t xml:space="preserve">Quelle: </w:t>
      </w:r>
      <w:r>
        <w:t>https://mcp.opencaselaw.ch/entscheid/vd_gerichte_PE24.023506</w:t>
      </w:r>
    </w:p>
    <w:p>
      <w:r>
        <w:t>FR: VD_GERICHTE PE24.023506 du 28 janvier 2025</w:t>
      </w:r>
    </w:p>
    <w:p>
      <w:r>
        <w:t>IT: VD_GERICHTE PE24.023506 del 28 gennaio 2025</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Code de procédure pénale, 2e éd., Bâle 2016, n. 24 ad art. 263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w:t>
      </w:r>
    </w:p>
    <w:p>
      <w:r>
        <w:t>- 5 -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 CREP 2 novembre 2024/775 consid. 1.4 ; CREP 16 octobre 2024/744 consid. 1.2).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du 14 mars 2023 consid. 1.1). La jurisprudence fédérale précise que les allégués contenus dans le mémoire de recours adressé à l'autorité, en particulier les moyens de droit, doivent en principe satisfaire aux exigences de motivation. Cela doit notamment permettre de</w:t>
      </w:r>
    </w:p>
    <w:p>
      <w:r>
        <w:t>- 6 - comprendre pour quelles raisons le recourant s'en prend à la décision attaquée et dans quelle mesure celle-ci doit être modifiée ou annulée. Dès lors, si la validité d'un moyen de droit présuppose, en vertu d'une règle légale expresse, une motivation – même minimale –, le fait d'exiger une motivation ne viole ni le droit d'être entendu, ni l'interdiction du formalisme excessif (ATF 134 II 244 consid. 2.4.2 ; TF 7B_587/2023 précité consid. 2.2.2 ; TF 7B_355/2023 du 30 juillet 2024 consid. 2.2.2 et les arrêts cités).</w:t>
      </w:r>
    </w:p>
    <w:p>
      <w:r>
        <w:rPr>
          <w:b/>
        </w:rPr>
        <w:t>E. 1.3</w:t>
      </w:r>
    </w:p>
    <w:p>
      <w:r>
        <w:t>En l’espèce, à l’appui de son recours, B.________ revient en substance sur les circonstances qui ont conduit à son interpellation, invoquant sa bonne foi et le fait que « toutes ces montres [seraient] en règle », à l’exception de la montre E. Ce faisant, il se borne à substituer sa version des faits sans critiquer la motivation très complète du Ministère public, qui a indiqué les raisons pour lesquelles il était vraisemblable que les montres A, D et E fussent des contrefaçons. Le recourant n’indique pas en quoi cette appréciation serait erronée ni en quoi les conditions d’un séquestre ne seraient pas réunies. Sous cet angle, le recours ne répond pas aux exigences de motivation de l’art. 385 CPP et doit être déclaré irrecevable. Conformément à la jurisprudence précitée, il ne saurait être fait application de l’art. 385 al. 2 CPP pour pallier cette carence.</w:t>
      </w:r>
    </w:p>
    <w:p>
      <w:r>
        <w:rPr>
          <w:b/>
        </w:rPr>
        <w:t>E. 2</w:t>
      </w:r>
    </w:p>
    <w:p>
      <w:r>
        <w:t>Par surabondance, dans la mesure où il serait recevable, le recours devrait de toute manière être rejeté pour les motifs qui vont suivre.</w:t>
      </w:r>
    </w:p>
    <w:p>
      <w:r>
        <w:rPr>
          <w:b/>
        </w:rPr>
        <w:t>E. 2.1</w:t>
      </w:r>
    </w:p>
    <w:p>
      <w:r>
        <w:t>Aux termes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l’État selon l’art. 71 CP (let. e).</w:t>
      </w:r>
    </w:p>
    <w:p>
      <w:r>
        <w:t>- 7 - Le séquestre probatoire au sens de l’art. 263 al. 1 let. a CPP est la mise sous main de justice des objets ou valeurs patrimoniales découverts lors d’une perquisition ou au cours de l’enquête et permettant la manifestation de la vérité ; la protection et la conservation de ces objets est ainsi garantie. Cette mesure de conservation s’impose notamment s’il existe un danger concret de voir les moyens de preuve détruits (ATF 143 IV 270 consid. 7.5 ; TF 1B_492/2017 du 25 avril 2018 consid. 2.2). Le séquestre en vue de la confiscation (cf. art. 263 al. 1 let. d CPP) est une mesure proportionnée lorsqu’elle porte sur des objets/avoirs dont on peut admettre qu’ils pourront être vraisemblablement confisqués en application du droit pénal (ATF 141 IV 360 précité). Il doit exister un rapport de causalité entre l’infraction et l’objet saisi en vue de la confiscation (ATF 140 IV 57 consid. 4.1.2 ; TF 1B_398/2022 du 13 décembre 2022 consid. 5.3). Tant que l’instruction n’est pas achevée et que subsiste une probabilité de confiscation, la mesure conservatoire doit être maintenue (ATF 141 IV 360 consid. 3.2 ; TF 1B_481/2021 du 4 novembre 2021 consid. 2.2). Le séquestre pénal ne peut donc être levé que dans l’hypothèse où il est d’emblée manifeste et indubitable que les conditions matérielles d’une confiscation ne sont pas réalisées, et ne pourront l’être (ATF 140 IV 133 consid. 4.2.1 ; ATF 139 IV 250 consid. 2.1 ; TF 1B_398/2022 précité consid. 5.3).</w:t>
      </w:r>
    </w:p>
    <w:p>
      <w:r>
        <w:rPr>
          <w:b/>
        </w:rPr>
        <w:t>E. 2.2</w:t>
      </w:r>
    </w:p>
    <w:p>
      <w:r>
        <w:t>et les références citées ; Julen Berthod, in : CR CPP, n. 26 ad art. 263 CPP et les références citées).</w:t>
      </w:r>
    </w:p>
    <w:p>
      <w:r>
        <w:rPr>
          <w:b/>
        </w:rPr>
        <w:t>E. 2.3</w:t>
      </w:r>
    </w:p>
    <w:p>
      <w:r>
        <w:t>Aux termes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 confiscation est possible même si l'auteur ne peut pas être identifié, s’il est décédé ou irresponsable ou s’il ne peut pas être poursuivi en Suisse pour d'autres raisons (ATF 132 II 178 consid. 4 et les références citées). Peu importe que l’objet soit grevé d’un droit réel limité ou qu’il soit la propriété d’un tiers (Dupuis et al. [éd.], Petit commentaire, Code pénal, 2e éd., Bâle 2017, nn. 3 et 18 ad art. 69 CP et les références citées).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w:t>
      </w:r>
    </w:p>
    <w:p>
      <w:r>
        <w:t>- 9 - signifie que, dans le futur, ce danger doit exister et que, précisément pour cette raison, il faut ordonner la confiscation en tant que mesure de sécurité (ATF 137 IV 249 consid. 4.4 ; TF 6B_189/2022 du 30 novembre 2022 consid. 4.1). C’est l’usage qui est fait de l’objet lors de la commission de l’infraction ou sa destination prévue qui lui confère son caractère dangereux et justifie ainsi sa confiscation (ATF 103 IV 76 consid. 2, JdT 1978 IV 72 ; Dupuis et al. [éd.], op. cit., n. 11 ad art. 69 CP).</w:t>
      </w:r>
    </w:p>
    <w:p>
      <w:r>
        <w:rPr>
          <w:b/>
        </w:rPr>
        <w:t>E. 2.4</w:t>
      </w:r>
    </w:p>
    <w:p>
      <w:r>
        <w:t>Le recourant conteste le séquestre et requiert la restitution de la montre portant l’inscription « Panerai Luminor 1950 » (montre A), de la montre portant l’inscription « Metal.ch » (montre B), de la montre portant l’inscription « Martyn Line » (montre C) et de la montre portant l’inscription « A. Lange &amp; Söhne » (montre D). Les montres B et C ne font pas l’objet de l’ordonnance de séquestre litigieuse, de sorte que le recours est irrecevable les concernant. La montre D est une contrefaçon, selon le bijoutier indépendant consulté par la Police cantonale. Quant à la montre A, l’entreprise Panerai a indiqué qu’il s’agissait probablement d’une contrefaçon, car le numéro de série gravé sur le boîtier ne correspondait à aucun de ses produits. De surcroît, il ressort d’un message que le recourant a écrit à son frère le 31 août 2024 qu’il savait que cette montre était une contrefaçon (« donc la panerai une fausse et archi faux », PV aud. 2 R. 7 et P. 4 p. 3). Au vu de ces éléments, il paraît probable à ce stade de l’enquête que les montres A et D devront être confisquées en vue de leur destruction au terme de la procédure (cf. art. 69 CP). Il était donc parfaitement justifié que le Ministère public ordonne leur séquestre à ce titre et à titre de moyen de preuve.</w:t>
      </w:r>
    </w:p>
    <w:p>
      <w:r>
        <w:t>- 10 -</w:t>
      </w:r>
    </w:p>
    <w:p>
      <w:r>
        <w:rPr>
          <w:b/>
        </w:rPr>
        <w:t>E. 3</w:t>
      </w:r>
    </w:p>
    <w:p>
      <w:r>
        <w:t>En définitive, le recours, manifestement mal fondé, doit être rejeté dans la mesure où il est recevable, sans échange d’écritures (art. 390 al. 2 CPP), et l’ordonnance entreprise confirmée. Vu le sort du recours, les frais de la procédure, constitués en l’espèce de l’émolument d'arrêt, par 990 fr. (art. 20 al. 1 TFIP), seront mis à la charge du recourant, qui succombe (art. 428 al. 1 CPP). Par ces motifs, la Chambre des recours pénale prononce : I. Le recours est rejeté dans la mesure où il est recevable. II. L’ordonnance du 9 janvier 2025 est confirmée. III. Les frais d’arrêt, par 990 fr. (neuf cent nonante francs), sont mis à la charge de B.________. IV. L’arrêt est exécutoire. Le président : La greffière : Du Le présent arrêt, dont la rédaction a été approuvée à huis clos, est notifié, par l'envoi d'une copie complète, à : - M. B.________, - Ministère public central,</w:t>
      </w:r>
    </w:p>
    <w:p>
      <w:r>
        <w:t>- 11 - et communiqué à : - M. le Procureur de l’arrondissement de La Côte, - Service pénitentiaire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