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PE24.023432 vom 23. Juli 2025</w:t>
      </w:r>
    </w:p>
    <w:p>
      <w:r>
        <w:t>VD Tribunal cantonal, 2025-07-23, FR</w:t>
      </w:r>
    </w:p>
    <w:p>
      <w:r>
        <w:rPr>
          <w:b/>
        </w:rPr>
        <w:t xml:space="preserve">Quelle: </w:t>
      </w:r>
      <w:r>
        <w:t>https://mcp.opencaselaw.ch/entscheid/vd_gerichte_PE24.023432</w:t>
      </w:r>
    </w:p>
    <w:p>
      <w:r>
        <w:t>FR: VD_GERICHTE PE24.023432 du 23 juillet 2025</w:t>
      </w:r>
    </w:p>
    <w:p>
      <w:r>
        <w:t>IT: VD_GERICHTE PE24.023432 del 23 luglio 2025</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statue sur la validité de l’opposition formée par le prévenu contre une ordonnance pénale (cf. art. 356 al. 3 et 4 CPP) est susceptible de recours selon les art. 393ss CPP (Gilliéron/Killias, Commentaire romand, Code de procédure pénale suisse, 2e éd., Bâle 2019, n. 5 ad art. 356 CPP ; CREP 25 octobre 2024/761 consid. 1.1 ; CREP 25 avril 2024/316 consid. 1.1). Ce recours s’exerce auprès de l’autorité de recours (cf. art. 20 al. 1 let. b CPP) qui est, dans le canton de Vaud, la Chambre des recours</w:t>
      </w:r>
    </w:p>
    <w:p>
      <w:r>
        <w:t>- 4 -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 L’art. 395 let. a CPP prévoit que, si l’autorité de recours est un tribunal collégial, ce qui est le cas de la Chambre des recours pénale du Tribunal cantonal, laquelle statue à trois juges (art. 67 al. 1 let. 1 LOJV ; art. 12 al. 1 ROTC [règlement organique du Tribunal cantonal du 13 novembre 2007 ; BLV 173.31.1]), sa direction de la procédure statue seule sur le recours lorsqu’il porte exclusivement sur des contraventions.</w:t>
      </w:r>
    </w:p>
    <w:p>
      <w:r>
        <w:rPr>
          <w:b/>
        </w:rPr>
        <w:t>E. 1.2</w:t>
      </w:r>
    </w:p>
    <w:p>
      <w:r>
        <w:t>Dans la mesure où le recours porte exclusivement sur une contravention, un membre de la Chambre des recours pénale est compétent pour statuer en qualité de juge unique (art. 13 al. 2 LVCPP).</w:t>
      </w:r>
    </w:p>
    <w:p>
      <w:r>
        <w:rPr>
          <w:b/>
        </w:rPr>
        <w:t>E. 1.3</w:t>
      </w:r>
    </w:p>
    <w:p>
      <w:r>
        <w:t>Le recours a été interjeté en temps utile, par la plaignante qui a qualité pour recourir (art. 382 al. 1 CPP), devant l’autorité compétente. Autre est toutefois la question de savoir s’il l’a été dans les formes prescrites (art. 385 al. 1 CPP).</w:t>
      </w:r>
    </w:p>
    <w:p>
      <w:r>
        <w:rPr>
          <w:b/>
        </w:rPr>
        <w:t>E. 2.1.1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rPr>
          <w:b/>
        </w:rPr>
        <w:t>E. 2.1.2</w:t>
      </w:r>
    </w:p>
    <w:p>
      <w:r>
        <w:t>L’art. 385 al. 2, 1re phrase, CPP prévoit que si le mémoire ne satisfait pas aux exigences mentionnées à l’alinéa 1, l’autorité de recours le renvoie au recourant pour qu’il le complète dans un bref délai. Si après</w:t>
      </w:r>
    </w:p>
    <w:p>
      <w:r>
        <w:t>- 5 -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w:t>
      </w:r>
    </w:p>
    <w:p>
      <w:r>
        <w:rPr>
          <w:b/>
        </w:rPr>
        <w:t>E. 2.2</w:t>
      </w:r>
    </w:p>
    <w:p>
      <w:r>
        <w:t>En l’espèce, l’acte de recours ne comporte aucun moyen dirigé contre les motifs du prononcé et qui, en se référant aux considérants de la décision attaquée, commanderait de rendre une autre décision. En effet, l’acte ne contient aucun moyen relatif au motif de l’ordonnance selon lequel la transaction n’était pas suffisamment précise pour permettre l’incrimination de [...] pour insoumission à une décision de l’autorité ; la recourante se contente d’affirmer que celui-ci était parfaitement d’accord avec les termes de la transaction, ce qui paraît insuffisant à cet égard. Quoi qu’il en soit, la question de la recevabilité du recours peut rester ouverte, compte tenu de ce qui suit.</w:t>
      </w:r>
    </w:p>
    <w:p>
      <w:r>
        <w:rPr>
          <w:b/>
        </w:rPr>
        <w:t>E. 3.1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- 6 -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w:t>
      </w:r>
    </w:p>
    <w:p>
      <w:r>
        <w:rPr>
          <w:b/>
        </w:rPr>
        <w:t>E. 3.2</w:t>
      </w:r>
    </w:p>
    <w:p>
      <w:r>
        <w:t>Dans le cas particulier, comme le retient à juste titre l’ordonnance attaquée, l’infraction réprimée à l’art. 292 CP (Code pénal suisse ; RS 311.0)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147 IV 145 consid. 2.1 [concernant l'art. 292 CP] ; ATF 127 IV 119 consid. 2a ; ATF 124 IV 297 consid. II.4.d ; TF 6B_677/2023 du 18 octobre 2023 consid. 2.1 [concernant également l'art. 292 CP] ; TF 6B_306/2014 du 29 janvier 2015 consid. 2.3). En l’occurrence, la question de savoir si, en l’absence d’un périmètre clairement circonscrit, l’engagement pris par [...] de ne pas s’approcher du domicile de la recourante est décrit de manière</w:t>
      </w:r>
    </w:p>
    <w:p>
      <w:r>
        <w:t>- 7 - suffisamment précise pour justifier, en cas d’inobservation, une condamnation du chef de l’art. 292 CP souffre de rester indécise. En effet, la transaction mentionne explicitement l’ancien domicile de la recourante « sis [...], à [...] », et l’on ne voit pas que cet engagement puisse valoir à l’égard de tous les lieux où il plairait à la recourante d’élire domicile, et en particulier à l’égard du nouveau domicile que celle-ci s’est constitué à [...], à [...], à tout le moins pas pour ce qui concerne l’infraction d’insoumission à une décision de l’autorité. La solution contraire reviendrait à ôter toute portée au principe de la légalité, consacré en droit pénal à l’art. 1 CP, selon lequel le destinataire d’une norme pénale doit être à même de savoir précisément quels sont les actes incriminés et les sanctions y attachées (ATF 147 IV 274 consid. 2.1.1). C’est donc à bon droit que le Ministère public a considéré qu’un élément constitutif de l’infraction de l’art. 292 CP – à savoir la transgression d’une injonction claire et précise – faisait défaut et l’empêchait, partant, d’entrer en matière sur la plainte pénale. La non-entrée en matière procède donc d’une correcte application de l’art. 310 al. 1 let. a CPP.</w:t>
      </w:r>
    </w:p>
    <w:p>
      <w:r>
        <w:rPr>
          <w:b/>
        </w:rPr>
        <w:t>E. 4</w:t>
      </w:r>
    </w:p>
    <w:p>
      <w:r>
        <w:t>En définitive, le recours, manifestement mal fondé, doit être rejeté dans la mesure de sa recevabilité, sans échange d'écritures (art. 390 al. 2 CPP), et l’ordonnance entreprise confirmée. Les frais de la procédure de recours, constitués en l’espèce du seul émolument d’arrêt, par 630 fr. (art. 422 al. 1 CPP), seront mis à la charge de la recourante, qui succombe (art. 428 al. 1 CPP). Le montant de 770 fr. déjà versé par la recourante à titre de sûretés sera imputé sur ces frais (art. 383 al. 1 CPP ; art. 7 TFIP), et le solde en sa faveur, par 140 fr., lui sera restitué.</w:t>
      </w:r>
    </w:p>
    <w:p>
      <w:r>
        <w:t>- 8 - Par ces motifs, le juge unique prononce : I. Le recours est rejeté dans la mesure de sa recevabilité. II. L’ordonnance du 1er mai 2025 est confirmée. III. Les frais d’arrêt, par 630 fr. (six cent trente francs), sont mis à la charge de J.________. IV. Le montant de 770 fr. (sept cent septante francs) versé par J.________ à titre de sûretés est compensé par les frais mis à sa charge au chiffre III ci-dessus, et le solde en sa faveur, par 140 fr. (cent quarante francs), lui est restitué. V. L’arrêt est exécutoire. Le juge unique : Le greffier : Du Le présent arrêt, dont la rédaction a été approuvée à huis clos, est notifié, par l'envoi d'une copie complète, à : - Mme J.________,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