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PE24.022781 vom 26. Mai 2025</w:t>
      </w:r>
    </w:p>
    <w:p>
      <w:r>
        <w:t>VD Tribunal cantonal, 2025-05-26, FR</w:t>
      </w:r>
    </w:p>
    <w:p>
      <w:r>
        <w:rPr>
          <w:b/>
        </w:rPr>
        <w:t xml:space="preserve">Quelle: </w:t>
      </w:r>
      <w:r>
        <w:t>https://mcp.opencaselaw.ch/entscheid/vd_gerichte_PE24.022781</w:t>
      </w:r>
    </w:p>
    <w:p>
      <w:r>
        <w:t>FR: VD_GERICHTE PE24.022781 du 26 mai 2025</w:t>
      </w:r>
    </w:p>
    <w:p>
      <w:r>
        <w:t>IT: VD_GERICHTE PE24.022781 del 26 maggio 2025</w:t>
      </w:r>
    </w:p>
    <w:p>
      <w:pPr>
        <w:pStyle w:val="Heading2"/>
      </w:pPr>
      <w:r>
        <w:t>Erwägungen</w:t>
      </w:r>
    </w:p>
    <w:p>
      <w:r>
        <w:rPr>
          <w:b/>
        </w:rPr>
        <w:t>E. 2</w:t>
      </w:r>
    </w:p>
    <w:p>
      <w:r>
        <w:t>A [...] et en tout autre endroit, à tout le moins entre le 13 février 2025 (date de sa libération d’incarcération) et le 19 février 2025, A.________ a persisté à séjourner en Suisse en dépit d’une expulsion judiciaire prononcée à vie par jugement du 31 août 2023 (cause PE22.021061), s’étant en particulier opposé à toute collaboration avec le Service de la population (ci-après : le SPOP) en vue d’organiser son renvoi, tout particulièrement en refusant de décliner son identité. Le SPOP, bien qu’ayant entrepris toutes les démarches nécessaires et raisonnables en vue du renvoi, n’a dès lors pu y procéder, en raison du seul comportement du prévenu.</w:t>
      </w:r>
    </w:p>
    <w:p>
      <w:r>
        <w:rPr>
          <w:b/>
        </w:rPr>
        <w:t>E. 2.1</w:t>
      </w:r>
    </w:p>
    <w:p>
      <w:r>
        <w:t>Le recourant plaide le fond sur la base de la Directive sur le retour (Directive 2008/115/CE du Parlement européen et du Conseil du 16 décembre 2008 relative aux normes et procédures communes applicables dans les États membres au retour des ressortissants de pays tiers en séjour irrégulier). Il renouvelle ainsi l’argumentation qu’il avait soumise à l’autorité de céans contre l’ordonnance de détention pour des motifs de sûreté du 28 mars 2025. Il soutient qu’il lui serait objectivement impossible de quitter légalement la Suisse et que les autorités compétentes n’auraient entrepris aucune démarche nécessaire en vue de son renvoi en Algérie. A défaut de documents d’identité valables, il ne serait pas en mesure de retourner dans son pays d’origine. Il fait valoir qu’il n’aurait pas été en mesure de contacter les autorités algériennes pour obtenir des documents d’identité dans le très bref laps de temps entre sa libération, le 13 février 2025, et sa nouvelle incarcération en détention provisoire, le 19 février 2025. Enfin, il allègue qu’il serait malade, ce qui l’empêcherait également de quitter le territoire helvétique, respectivement d’entreprendre un long trajet jusqu’en Algérie.</w:t>
      </w:r>
    </w:p>
    <w:p>
      <w:r>
        <w:rPr>
          <w:b/>
        </w:rPr>
        <w:t>E. 2.2.1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preuves qu’elle invoque (let. c).</w:t>
      </w:r>
    </w:p>
    <w:p>
      <w:r>
        <w:t>- 8 - Les motifs au sens de l'art. 385 al. 1 let. b CPP doivent être étayés par le recourant sous l'angle des faits et du droit. La motivation d'un acte de recours doit être entièrement contenue dans l'acte lui-même et ne saurait être complétée ultérieurement (TF 7B_51/2024 du 25 avril 2024 consid. 2.2.2 ; TF 6B_1447/2022 du 14 mars 2023 consid. 1.1 et les arrêts cités). La motivation doit être complète, si bien qu'un simple renvoi à d'autres écritures n'est pas suffisant (TF 6B_1447/2022 précité ; cf. en lien avec l’art. 42 LTF [loi sur le Tribunal fédéral du 17 juin 2005 ; RS 173.110], ATF 140 III 115 consid. 2). Selon l'art. 385 al. 2 CPP, si le mémoire ne satisfait pas à ces exigences, l'autorité de recours le renvoie au recourant afin que ce dernier le complète dans un bref délai ; si, après l'expiration de ce délai supplémentaire, le mémoire ne satisfait toujours pas à ces exigences, l'autorité de recours n'entre pas en matière. Cette disposition ne permet toutefois pas de remédier à un défaut de motivation dans le mémoire en question (TF 6B_1447/2022 précité).</w:t>
      </w:r>
    </w:p>
    <w:p>
      <w:r>
        <w:rPr>
          <w:b/>
        </w:rPr>
        <w:t>E. 2.2.2</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et/ou qu'il compromette sérieusement la sécurité d'autrui par des crimes ou des délits graves après avoir déjà commis des infractions du même genre (let. c). Au moment du jugement, le tribunal de première instance détermine si le prévenu qui a été condamné doit être placé ou maintenu en détention pour des motifs de sûreté, pour garantir l'exécution de la peine ou de la mesure prononcée (art. 231 al. 1 let. a CPP). Les cas de figure posés à l'art. 231 al. 1 CPP ne constituent pas des motifs de détention proprement dits au sens de l'art. 31 al. 1 Cst., mais apportent des précisions d'ordre procédural : l'art. 231 CPP désigne l'autorité compétente pour ordonner la détention à titre de sûreté et les motifs de</w:t>
      </w:r>
    </w:p>
    <w:p>
      <w:r>
        <w:t>- 9 - détention demeurent ceux de l'art. 221 CPP (TF 1B_210/2016 du 24 juin 2016 consid. 2.1 ; TF 1B_244/2013 du 6 août 2013 consid. 3.1). Le risque de fuite au sens de l'art. 221 al. 1 let. a CPP doit s'analyser en fonction d'un ensemble de critères concrets tels que le caractère de l'intéressé, sa moralité, ses ressources, ses liens avec l'Etat qui le poursuit ainsi que ses contacts à l'étranger, qui font apparaître le risque de fuite non seulement possible, mais également probable. Les circonstances particulières de chaque cas d’espèce doivent être prises en compte (ATF 143 IV 160 consid. 4.3, JdT 2018 IV 3 ; TF 1B_174/2019 du 3 mai 2019 consid. 3.1). La gravité de l'infraction ne peut pas, à elle seule, justifier la prolongation de la détention, même si elle permet souvent de présumer un danger de fuite en raison de l'importance de la peine dont le prévenu est menacé (ATF 145 IV 503 consid. 2.2 ; TF 7B_62/2025 du 26 février 2025 consid. 4.3.1). Doivent également être pris en considération les liens familiaux et sociaux, la situation professionnelle et financière, et les contacts à l’étranger (ATF 145 IV 503 consid. 2.2 ; ATF 143 IV 160 consid. 4.3 ; ATF 123 I 31 consid. 3d).</w:t>
      </w:r>
    </w:p>
    <w:p>
      <w:r>
        <w:rPr>
          <w:b/>
        </w:rPr>
        <w:t>E. 2.3</w:t>
      </w:r>
    </w:p>
    <w:p>
      <w:r>
        <w:t>En l’espèce, le recours souffre d’un défaut de motivation dans la mesure où il ne prend pas appui sur le raisonnement suivi par le premier juge à propos du maintien – après le jugement – de la détention pour des motifs de sûreté. Le recourant argumente en effet de la même manière que dans son précédent recours contre l’ordonnance de détention pour des motifs de sûreté du 28 mars 2025 rendue par le Tribunal des mesures de contrainte, alors que la situation se présente différemment après la condamnation en première instance. A ce stade, l’autorité de recours n’a plus à se prononcer sur l’existence de charges suffisantes – qui doit être retenue compte tenu de la condamnation –, mais doit uniquement examiner si la détention pour des motifs de sûreté se justifie pour garantir l'exécution de la peine privative de liberté à laquelle le recourant a été condamné (art. 231 al. 1 let. a CPP). Or, celui-ci n’explique pas en quoi l'autorité précédente aurait fait une mauvaise application de l'art. 231 al. 1 let. a CPP et il n’essaie nullement de démontrer en quoi</w:t>
      </w:r>
    </w:p>
    <w:p>
      <w:r>
        <w:t>- 10 - l’appréciation du premier juge serait erronée en fait ou en droit sur cette question. Au vu de ce qui précède, faute de satisfaire aux exigences posées à l'art. 385 al. 1 CPP, le recours est irrecevable.</w:t>
      </w:r>
    </w:p>
    <w:p>
      <w:r>
        <w:rPr>
          <w:b/>
        </w:rPr>
        <w:t>E. 2.4</w:t>
      </w:r>
    </w:p>
    <w:p>
      <w:r>
        <w:t>Par surabondance, même dans l’hypothèse où le recours aurait été recevable, il n’aurait pu qu’être rejeté, tant le risque de fuite retenu par le premier juge est manifeste, ce qui justifie le maintien en détention pour des motifs de sûreté du recourant. En effet, compte tenu de l’attitude générale de l’intéressé à l’égard du SPOP, visant à échapper à son renvoi, de son absence d’intégration en Suisse, de l’absence de tout lien le retenant dans ce pays, ainsi que de ses déclarations – mises en avant par la Chambre de céans dans son précédent arrêt – selon lesquelles il entend se rendre en France, et du solde de peine à exécuter, il existe de sérieuses raisons de craindre que le recourant quitte le pays ou entre dans la clandestinité. L’appréciation du premier juge sur ce point devrait ainsi être confirmée. Pour le surplus, le risque de fuite retenu par le premier juge étant particulièrement intense, aucune mesure de substitution ne serait envisageable, de sorte qu’il devrait être retenu que la détention respecte le principe de la proportionnalité.</w:t>
      </w:r>
    </w:p>
    <w:p>
      <w:r>
        <w:rPr>
          <w:b/>
        </w:rPr>
        <w:t>E. 3</w:t>
      </w:r>
    </w:p>
    <w:p>
      <w:r>
        <w:t>En définitive, le recours doit être déclaré irrecevable, sans échange d’écritures (art. 390 al. 2 CPP). Au vu de la nature de l’affaire et du mémoire de recours produit, l’indemnité allouée au défenseur d’office sera fixée à 397 fr., correspondant à une activité nécessaire d’avocat de deux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w:t>
      </w:r>
    </w:p>
    <w:p>
      <w:r>
        <w:t>- 11 - ; BLV 312.03.1]), par 7 fr. 20, plus la TVA au taux de 8,1 %, par 29 fr. 75. L’indemnité s’élève ainsi à 397 fr. au total en chiffres arrondis. Les frais de la procédure de recours, constitués en l’espèce de l’émolument d'arrêt, par 1’100 fr. (art. 20 al. 1 TFIP), et des frais imputables à la défense d’office (art. 422 al. 1 et 2 let. a CPP), seront mis à la charge du recourant, qui succombe (art. 428 al. 1 CPP). Le remboursement à l’Etat de l’indemnité allouée au défenseur d’office sera exigible du recourant dès que sa situation financière le permettra (art. 135 al. 4 CPP). Par ces motifs, la Chambre des recours pénale prononce : I. Le recours est irrecevable. II. L’indemnité allouée à Me Aurore Gaberell-Maquelin, défenseur d’office d’A.________, est fixée à 397 fr. (trois cent nonante-sept francs). III. Les frais d’arrêt, par 1’100 fr. (mille cent francs), ainsi que l’indemnité due au défenseur d’office d’A.________, par 397 fr. (trois cent nonante-sept francs), sont mis à la charge de ce dernier. IV. Le remboursement à l’Etat de l’indemnité allouée au chiffre III ci-dessus sera exigible d’A.________ dès que sa situation financière le permettra. V. L’arrêt est exécutoire. Le président : La greffière :</w:t>
      </w:r>
    </w:p>
    <w:p>
      <w:r>
        <w:t>- 12 - Du Le présent arrêt, dont la rédaction a été approuvée à huis clos, est notifié, par l'envoi d'une copie complète, à : - Me Aurore Gaberell-Maquelin, avocate (pour A.________), - Ministère public central, et communiqué à : - Mme la Présidente du Tribunal d’arrondissement de la Broye et du Nord vaudois, - M. le Procureur de l’arrondissement de La Côte,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