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PE24.022750 vom 7. Mai 2025</w:t>
      </w:r>
    </w:p>
    <w:p>
      <w:r>
        <w:t>VD Tribunal cantonal, 2025-05-07, FR</w:t>
      </w:r>
    </w:p>
    <w:p>
      <w:r>
        <w:rPr>
          <w:b/>
        </w:rPr>
        <w:t xml:space="preserve">Quelle: </w:t>
      </w:r>
      <w:r>
        <w:t>https://mcp.opencaselaw.ch/entscheid/vd_gerichte_PE24.022750</w:t>
      </w:r>
    </w:p>
    <w:p>
      <w:r>
        <w:t>FR: VD_GERICHTE PE24.022750 du 7 mai 2025</w:t>
      </w:r>
    </w:p>
    <w:p>
      <w:r>
        <w:t>IT: VD_GERICHTE PE24.022750 del 7 maggio 2025</w:t>
      </w:r>
    </w:p>
    <w:p>
      <w:pPr>
        <w:pStyle w:val="Heading2"/>
      </w:pPr>
      <w:r>
        <w:t>Erwägungen</w:t>
      </w:r>
    </w:p>
    <w:p>
      <w:r>
        <w:rPr>
          <w:b/>
        </w:rPr>
        <w:t>E. 1</w:t>
      </w:r>
    </w:p>
    <w:p>
      <w:r>
        <w:t>CPP), de sorte qu’il est recevable, sous la réserve toutefois de ses moyens portant sur l’infraction de faux dans les titres (consid. 5.2 ci- dessous).</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t>- 4 -</w:t>
      </w:r>
    </w:p>
    <w:p>
      <w:r>
        <w:rPr>
          <w:b/>
        </w:rPr>
        <w:t>E. 1.2</w:t>
      </w:r>
    </w:p>
    <w:p>
      <w:r>
        <w:t>En l’espèce, le recours a été interjeté dans le délai légal, auprès de l'autorité compétente et dans les formes prescrites (art. 385 al.</w:t>
      </w:r>
    </w:p>
    <w:p>
      <w:r>
        <w:rPr>
          <w:b/>
        </w:rPr>
        <w:t>E. 2</w:t>
      </w:r>
    </w:p>
    <w:p>
      <w:r>
        <w:t>Le recourant soutient en premier lieu qu’un examen de la solvabilité de la bénéficiaire de ses versements tel qu’exigé par le Ministère public représente une mesure qui excède la prudence élémentaire. Compte tenu des contacts réguliers et cordiaux que lui- même et [...] entretenaient depuis plusieurs mois sur les lieux de travail de cette dernière, le plaignant n’aurait pas eu de raison de se montrer particulièrement méfiant. En outre, le mensonge mettant en scène l’employeur de l’intéressée aurait clairement été de nature à le rassurer. Toujours selon le recourant, le comportement de [...] serait astucieux car celle-ci aurait utilisé des faux messages WhatsApp émanant prétendument de son employeur. Contrairement à ce qu’aurait relevé le Ministère public, le degré de précision des informations données par [...] était propre à le dissuader de les vérifier. En outre, il ressortirait des messages WhatsApp qu’elle aurait très vite flatté le plaignant et joué sur les émotions de ce dernier. Le recourant considère ensuite que, outre l’escroquerie, l’infraction de faux dans les titres devrait être envisagée. En effet, [...] lui aurait adressé des captures d’écran d’une conversation WhatsApp avec un tiers nommé « [...] », soit son employeur, connu du recourant, alors que la personne en question n’était pas celui-ci.</w:t>
      </w:r>
    </w:p>
    <w:p>
      <w:r>
        <w:rPr>
          <w:b/>
        </w:rPr>
        <w:t>E. 3</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- 5 -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6B_941/2021 du 9 mars 2022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6B_941/2021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4.1</w:t>
      </w:r>
    </w:p>
    <w:p>
      <w:r>
        <w:t>Aux termes de l'art. 146 CP (Code pénal ; RS 311.0),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t>- 6 - Par tromperie, il faut entendre tout comportement destiné à faire naître chez autrui une représentation erronée des faits, qui diverge de la réalité (ATF 150 IV 169 consid. 5.1 ; ATF 147 IV 73 consid. 3.1 ; ATF 140 IV 11 consid. 2.3.2, JdT 2014 IV 217 ; ATF 135 IV 76 consid. 5.1, JdT 2010 I 676 ; TF 6B_365/2024 et 6B_375/2024 du 28 janvier 2025 consid.</w:t>
      </w:r>
    </w:p>
    <w:p>
      <w:r>
        <w:rPr>
          <w:b/>
        </w:rPr>
        <w:t>E. 4.1.2</w:t>
      </w:r>
    </w:p>
    <w:p>
      <w:r>
        <w:t>et les références citées).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L’escroquerie consiste à tromper la dupe. Pour qu’il y ait escroquerie, une simple tromperie ne suffit cependant pas. Il faut qu’elle soit astucieuse. Il y a tromperie astucieuse, au sens de l’art. 146 CP, lorsque l’auteur recourt à un édifice de mensonges, à des manœuvres fallacieuses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Tel est notamment le cas si la dupe, en raison de sa situation personnelle (faiblesse d’esprit, inexpérience, grand âge ou maladie), n’est pas en mesure de procéder à une vérification et que l’auteur exploite cette situation (ATF 143 IV 302 consid. 1.3 ; ATF 142 IV 153 consid. 2.2.2, JdT 2017 IV 75 ; ATF 135 IV 76 consid. 5.2 ; TF 6B_844/2020 du 24 mars 2021 consid. 2.3.1 ; TF 6B_346/2020 du 21 juillet 2020 consid. 1.2 ; TF 6B_446/2018 du 17 juillet 2018 consid. 2.1 et les références citées).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w:t>
      </w:r>
    </w:p>
    <w:p>
      <w:r>
        <w:t>- 7 - que si la dupe n’a pas procédé aux vérifications élémentaires qu’on pouvait attendre d’elle au vu des circonstances. Tel est notamment le cas si la dupe, en raison de sa situation personnelle (faiblesse d’esprit, inexpérience, grand âge ou maladie), n’est pas en mesure de procéder à une vérification et que l’auteur exploite cette situation (ATF 143 IV 302 consid. 1.3 ; ATF 142 IV 153 consid. 2.2.2 ; ATF 135 IV 76 consid. 5.2 ; TF 6B_844/2020 du 24 mars 2021 consid. 2.3.1). Une co-responsabilité de la dupe n’exclut toutefois l’astuce que dans des cas exceptionnels (ATF 147 IV 73 consid. 3.1 et 3.2 ; ATF 143 IV 302 consid. 1.4 ; AFT 142 IV 153 consid. 2.2.2 ; ATF 135 IV 76 consid. 5.2 ; TF 6B_844/2020 du 24 mars 2021 consid. 2.3.1). Ainsi, n'importe quelle négligence de sa part ne suffit pas à exclure l'astuce (ATF 126 IV 165 consid. 2a). Il n'est donc pas nécessaire que la dupe soit exempte de la moindre faute (TF 6B_819/2018 du 25 janvier 2019 consid. 3.5 et la référence citée). D’après la jurisprudence et la doctrine, l’attention que l’on peut attendre de la dupe doit faire l’objet d’un examen personnel et individuel. En effet, le Tribunal fédéral commande, dans le cadre de cet examen, de prendre en considération la faiblesse d’esprit de la victime, son inexpérience, son âge, ou toute autre circonstance qui a pour conséquence que celle-ci se trouve dans un état de dépendance ou dans un rapport de soumission dont l’auteur profite pour la tromper (TF 6B_383/2013 du 9 septembre 2013 consid. 2.2.1). Tel est le cas lorsque l’auteur met à profit un rapport de confiance qu’il a créé avec sa victime (CREP du 8 octobre 2019/819 consid. 3.2). L’exploitation de semblables situations constitue l’une des caractéristiques de l’astuce (TF 6B_898/2017 du 8 mars 2018 consid. 3.2 ; CREP 17 décembre 2021/1151 ; CREP 1er novembre 2019/878).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t>- 8 -</w:t>
      </w:r>
    </w:p>
    <w:p>
      <w:r>
        <w:rPr>
          <w:b/>
        </w:rPr>
        <w:t>E. 4.2</w:t>
      </w:r>
    </w:p>
    <w:p>
      <w:r>
        <w:t>Selon l’art. 110 al. 4 CP, sont des titres tous les écrits destinés et propres à prouver un fait ayant une portée juridique et tous les signes destinés à prouver un tel fait. L’enregistrement sur des supports de données et sur des supports-images est assimilé à un écrit s’il a la même destination. L’art. 251 ch. 1 CP, qui réprime le faux dans les titres,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ATF 142 IV 119 consid. 2.1, ATF 138 IV 130 consid. 2.1 ; TF 6B_383/2019 consid. 8.3.1). En revanche, le simple fait que l'expérience montre que certains écrits jouissent d'une crédibilité particulière ne suffit pas, même si dans la pratique des affaires il est admis que l'on se fie à de tels documents (ATF 146 IV 258 consid. 1.1 ; ATF 142 IV 119 consid. 2.1 et les références citées ; TF 6B_1062/2023 du 22 avril 2024 consid. 3.1.2 ; TF 6B_383/2019 du 8 novembre 2019 consid. 8.3.1 non publié in ATF 145 IV 470).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et les références citées ; ATF 138 IV 130 ; TF 6B_367/2022 du 4 juillet 2022 consid. 1.2 et les références citées ; CREP 1er juin 2023/453 ; CREP 25 juillet 2014/514). La jurisprudence considère que certains documents possèdent une valeur probante accrue en raison de la fonction de la personne qui les établit, cette personne se trouvant dans une position comparable à celle d'un garant à l'égard des personnes induites en erreur (ATF 146 IV</w:t>
      </w:r>
    </w:p>
    <w:p>
      <w:r>
        <w:t>- 9 - 258 consid. 1.1.2; ATF 123 IV 61 consid. 5c/cc ; ATF 121 IV 131 consid. 2c ; ATF 120 IV 25 consid. 3f).</w:t>
      </w:r>
    </w:p>
    <w:p>
      <w:r>
        <w:rPr>
          <w:b/>
        </w:rPr>
        <w:t>E. 5.1</w:t>
      </w:r>
    </w:p>
    <w:p>
      <w:r>
        <w:t>En l’espèce, le recourant a exposé, dans sa plainte et dans son acte de recours, avoir remis plusieurs sommes d’argent à [...] sans qu’aucun montant ne lui soit jamais remboursé. Il a précisé que celle-ci lui avait fait part de ses difficultés financières, qu’elle s’était engagée à rembourser les montants prêtés, qu’elle lui avait indiqué que son employeur était au courant de la situation et qu’elle avait ajouté que ce dernier approuvait ses actes. A l’appui de ce dernier moyen, le recourant a produit les captures d’écran de divers messages WhatsApp établissant qu’il aurait été délibérément trompé par la bénéficiaire de ses largesses quant à l’identité de la personne avec laquelle il avait échangé ces messages. Avec le procureur, on peut s’étonner d’un manque de méfiance du recourant. Certes, sur le plan subjectif, celui-ci se trouvait dans un environnement le mettant en confiance, dès lors qu’il était client régulier des deux établissements gérés par l’une de ses connaissances. En outre, il paraît évident qu’il a été sensible à la flatterie, voire à la séduction, exercée par la sommelière, ce qu’il reconnaît d’ailleurs lui- même (mémoire de recours, p. 6, ch. 25). Cela étant, le fait essentiel est que [...] lui a présenté de faux messages WhatsApp émanant prétendument de son employeur [...], que le recourant connaissait personnellement, comme déjà relevé (cf. P. 5/12, notamment). En outre, elle a utilisé un stratagème pour faire croire au recourant que son employeur était au courant de la situation et qu’il se portait garant d’elle (P. 5/13). Etant constant que l’intéressée s’est enrichie au détriment du plaignant à hauteur des montants versés par lui à son crédit, la création de faux documents informatiques à l’appui d’assertions contraires à la vérité pourrait être de nature à constituer une astuce au sens pénal. Ce procédé excède de beaucoup les assertions de [...] quant à sa prétendue volonté de rembourser le plaignant. Ce dernier n'a donc accepté de verser les sommes d’argent en cause que sur la foi d’au moins une capture</w:t>
      </w:r>
    </w:p>
    <w:p>
      <w:r>
        <w:t>- 10 - d’écran contrefaite, aux termes de laquelle un tiers, connu de lui et présumé solvable, se portait garant de [...]. C’est donc de manière crédible qu’il allègue qu’il n’aurait pas transféré d’argent à défaut de ces circonstances, à savoir sur la foi des seules promesses de remboursement formulées oralement par la bénéficiaire de ses largesses. Dans ces conditions, le Procureur ne pouvait se limiter à considérer que le plaignant devait manifestement prendre conscience du risque inconsidéré qu’impliquaient ses nombreux versements sur une très courte période. Dans ces circonstances, et par identité de motifs, il ne saurait être retenu avant toute mesure d’investigation que la co-responsabilité de la victime exclut le caractère astucieux de la tromperie (cf. not. ATF 142 IV 153, déjà cité), respectivement que le recourant aurait pu se protéger en prenant des mesures de prudence élémentaires, notamment en vérifiant la solvabilité de la bénéficiaire de ses largesses. L’un au moins des éléments constitutifs objectifs de l’infraction d’escroquerie pourrait ainsi être réalisé. Il conviendra donc d’ouvrir une instruction, afin de déterminer plus avant les circonstances dans lesquelles les sommes en question ont été versées. En particulier, il y aura lieu d’auditionner [...] au sujet des faits qui précèdent.</w:t>
      </w:r>
    </w:p>
    <w:p>
      <w:r>
        <w:rPr>
          <w:b/>
        </w:rPr>
        <w:t>E. 5.2</w:t>
      </w:r>
    </w:p>
    <w:p>
      <w:r>
        <w:t>Enfin, s’agissant de l’infraction de faux dans les titres, également invoquée, le recourant se limite à une argumentation très générale limitée à cinq lignes (mémoire de recours, p. 6, ch. 30). Ce moyen souffre d’un défaut de motivation sous l’angle de l’art. 385 al. 1 CPP. En effet, le recourant n’expose nullement en quoi le faux message faisant l’objet de la capture d’écran invoquée (P. 5/12) revêtirait, selon lui, une valeur probante accrue lui conférant la qualité de titre au sens des art. 110 al. 4 et 251 CP. Il n’y a pas lieu de faire application de l’art. 385 al. 2, 1re phrase, CPP (TF 7B_587/2023 du 11 septembre 2024 ; TF 7B_355/2023 du 30 juillet 2024). Le recours est dès lors irrecevable dans cette mesure (ibid.).</w:t>
      </w:r>
    </w:p>
    <w:p>
      <w:r>
        <w:rPr>
          <w:b/>
        </w:rPr>
        <w:t>E. 6</w:t>
      </w:r>
    </w:p>
    <w:p>
      <w:r>
        <w:t>En définitive, le recours doit être admis dans la mesure où il est recevable et l’ordonnance entreprise annulée. Le dossier de la cause</w:t>
      </w:r>
    </w:p>
    <w:p>
      <w:r>
        <w:t>- 11 - sera renvoyé au Ministère public de l'arrondissement de l’Est vaudois pour qu’il procède dans le sens des considérants. Vu le sort du recours, les frais de la procédure, constitués du seul émolument d’arrêt, par 1'100 fr. (art. 20 al. 1 TFIP [tarif des frais de procédure et indemnités en matière pénale du 28 septembre 2010 ; BLV 312.03.1]), seront laissés à la charge de l’Etat (art. 428 al. 4 CPP). Le montant de 770 fr. déjà versé par le recourant à titre de sûretés lui sera restitué (art. 383 al. 1 CPP ; art. 7 TFIP). Le recourant, qui a procédé avec l’assistance d’un conseil de choix et qui a obtenu gain de cause sur le principe, a droit, à la charge de l’Etat, à une indemnité pour les dépenses obligatoires occasionnées par la procédure de recours (art. 433 al. 1 CPP, applicable par renvoi de l’art. 436 al. 1 CPP ; cf. TF 6B_2/2021 du 25 juin 2021 consid. 1.1 ; TF 6B_1324/2015 du 23 novembre 2016 consid. 2.2). Au vu de la nature de l’affaire et des moyens articulés, il sera retenu une durée d’activité totale de trois heures au tarif horaire de 300 fr. (art. 26a al. 3 TFIP ; TF 7B_35/2022 du 22 février 2024, JdT 2024 III 61), à hauteur de 900 francs. A ce montant il convient d’ajouter des débours forfaitaires à concurrence de 2 % des honoraires admis (art. 19 al. 2 TDC [Tarif des dépens en matière civile du 23 novembre 2010 ; BLV 270.11.6]), par 18 fr., plus la TVA au taux de 8,1 %, par 74 fr. 35. L’indemnité s’élève ainsi à 993 fr. au total, en chiffres arrondis. Par ces motifs, la Chambre des recours pénale prononce : I. Le recours est admis dans la mesure où il est recevable. II. L’ordonnance du 31 octobre 2024 est annulée. III. Le dossier de la cause est renvoyé au Ministère public de l’arrondissement de l’Est vaudois pour qu’il procède dans le sens des considérants.</w:t>
      </w:r>
    </w:p>
    <w:p>
      <w:r>
        <w:t>- 12 - IV. Les frais d’arrêt, par 1'100 fr. (mille cent francs), sont laissés à la charge de l’Etat. V. L’avance de frais de 770 fr. (sept cent septante francs) versée par K.________ à titre de sûretés lui est restituée. VI. Une indemnité de 993 fr. (neuf cent nonante-trois francs) est allouée à K.________ pour la procédure de recours, à la charge de l’Etat. VII. L’arrêt est exécutoire. Le président : Le greffier : Du Le présent arrêt, dont la rédaction a été approuvée à huis clos, est notifié, par l'envoi d'une copie complète, à : - Me Baptiste Savoy, avocat (pour K.________),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