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PE24.022508 vom 17. Juni 2025</w:t>
      </w:r>
    </w:p>
    <w:p>
      <w:r>
        <w:t>VD Tribunal cantonal, 2025-06-17, FR</w:t>
      </w:r>
    </w:p>
    <w:p>
      <w:r>
        <w:rPr>
          <w:b/>
        </w:rPr>
        <w:t xml:space="preserve">Quelle: </w:t>
      </w:r>
      <w:r>
        <w:t>https://mcp.opencaselaw.ch/entscheid/vd_gerichte_PE24.022508</w:t>
      </w:r>
    </w:p>
    <w:p>
      <w:r>
        <w:t>FR: VD_GERICHTE PE24.022508 du 17 juin 2025</w:t>
      </w:r>
    </w:p>
    <w:p>
      <w:r>
        <w:t>IT: VD_GERICHTE PE24.022508 del 17 giugno 2025</w:t>
      </w:r>
    </w:p>
    <w:p>
      <w:pPr>
        <w:pStyle w:val="Heading2"/>
      </w:pPr>
      <w:r>
        <w:t>Erwägungen</w:t>
      </w:r>
    </w:p>
    <w:p>
      <w:r>
        <w:rPr>
          <w:b/>
        </w:rPr>
        <w:t>E. 1</w:t>
      </w:r>
    </w:p>
    <w:p>
      <w:r>
        <w:t>CPP), de sorte qu’il est recevable.</w:t>
      </w:r>
    </w:p>
    <w:p>
      <w:r>
        <w:rPr>
          <w:b/>
        </w:rPr>
        <w:t>E. 1.1</w:t>
      </w:r>
    </w:p>
    <w:p>
      <w:r>
        <w:t>A titre liminaire, on constate que le recourant confond l’ordonnance de non-entrée en matière qu’il attaque avec une ordonnance de classement et cite la mauvaise disposition (art. 319 CPP). Ses conclusions sont également erronées sur ce point. Il n’en demeure pas moins qu’il est manifeste qu’il conteste l’ordonnance de non-entrée en matière rendue le 12 décembre 2024 par le Ministère public de l’arrondissement de Lausanne. Les moyens qu’il soulève seront ainsi examinés sous l’angle des conditions régissant la reddition d’une ordonnance de non-entrée en matière.</w:t>
      </w:r>
    </w:p>
    <w:p>
      <w:r>
        <w:rPr>
          <w:b/>
        </w:rPr>
        <w:t>E. 1.2</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1.3</w:t>
      </w:r>
    </w:p>
    <w:p>
      <w:r>
        <w:t>En l’espèce, le recours a été interjeté dans le délai légal, auprès de l'autorité compétente et dans les formes prescrites (art. 385 al.</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w:t>
      </w:r>
    </w:p>
    <w:p>
      <w:r>
        <w:t>- 6 - il apparaît d’emblée qu’aucun acte d’enquête ne pourra apporter la preuve d’une infraction à la charge d’une personne déterminée (TF 6B_541/2017 du 20 décembre 2017 consid. 2.2).</w:t>
      </w:r>
    </w:p>
    <w:p>
      <w:r>
        <w:rPr>
          <w:b/>
        </w:rPr>
        <w:t>E. 2.1</w:t>
      </w:r>
    </w:p>
    <w:p>
      <w:r>
        <w:t>Le recourant invoque une violation du principe in dubio pro duriore. Il reproche au Ministère public d’avoir privilégié la version des faits du prévenu alors qu’un doute subsistait. Il avait par ailleurs fourni le nom des témoins devant lesquels les propos incriminés avaient été tenus, et fait grief au Ministère public de ne pas avoir procédé à leurs auditions. On serait donc en présence d’une absence totale d’instruction.</w:t>
      </w:r>
    </w:p>
    <w:p>
      <w:r>
        <w:t>- 5 -</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rPr>
          <w:b/>
        </w:rPr>
        <w:t>E. 2.2.3</w:t>
      </w:r>
    </w:p>
    <w:p>
      <w:r>
        <w:t>Aux termes de l’art. 173 ch. 1 CP, se rend coupable de diffamation et est, sur plainte, puni d’une peine pécuniaire, quiconque, en s’adressant à un tiers, accuse une personne ou jette sur elle le soupçon de tenir une conduite contraire à l’honneur, ou de tout autre fait propre à porter atteinte à sa considération, ou quiconque propage une telle accusation ou un tel soupçon.</w:t>
      </w:r>
    </w:p>
    <w:p>
      <w:r>
        <w:t>- 7 -</w:t>
      </w:r>
    </w:p>
    <w:p>
      <w:r>
        <w:rPr>
          <w:b/>
        </w:rPr>
        <w:t>E. 2.2.4</w:t>
      </w:r>
    </w:p>
    <w:p>
      <w:r>
        <w:t>Selon l’art. 174 ch. 1 CP, se rend coupable de calomnie et est, sur plainte, puni d’une peine privative de liberté de trois ans au plus ou d’une peine pécuniaire,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w:t>
      </w:r>
    </w:p>
    <w:p>
      <w:r>
        <w:rPr>
          <w:b/>
        </w:rPr>
        <w:t>E. 2.2.5</w:t>
      </w:r>
    </w:p>
    <w:p>
      <w:r>
        <w:t>Selon l’art. 177 al. 1 CP, se rend coupable d’injure, quiconque, de toute autre manière, attaque autrui dans son honneur par la parole, l'écriture, l'image, le geste ou par des voies de fait.</w:t>
      </w:r>
    </w:p>
    <w:p>
      <w:r>
        <w:rPr>
          <w:b/>
        </w:rPr>
        <w:t>E. 2.3.1</w:t>
      </w:r>
    </w:p>
    <w:p>
      <w:r>
        <w:t>En l’occurrence, comme le relève le recourant, certaines expressions qui auraient été formulées, notamment « connard » et « immense trou du cul », sont clairement attentatoires à l’honneur du plaignant. En effet, au vu de la définition que donnent différents dictionnaires au terme "connard" et compte tenu des contextes dans lesquels il en est habituellement fait usage en société, ce terme excède ce qui est socialement acceptable et appartient au registre des insultes (cf. not. TF 6B_589/2024 du janvier 2025 consid. 3.3). Certes, H.________ ne les a pas entendues directement, mais il a fourni, lors de son audition par la police du 14 février 2025, les noms et numéros de téléphone de cinq témoins qui pourraient donner des éclaircissements sur les faits (PV aud. 1 p. 3). Certes, la procureure a raison lorsqu’elle indique que les versions des parties ne concordent pas. Toutefois, elle n’est fondée à rendre une ordonnance de non-entrée en matière que dans les cas où il apparaît d’emblée qu’aucun acte d’enquête ne pourra apporter la preuve d’une infraction à la charge d’une personne déterminée. Or, sur ce point, le recourant a indiqué que plusieurs témoins étaient présents au moment des faits et seraient susceptibles de renseigner la justice sur la teneur des propos tenus par I.________ à l’égard de H.________.</w:t>
      </w:r>
    </w:p>
    <w:p>
      <w:r>
        <w:t>- 8 - Au vu de ce qui précède, force est de constater qu’il ne peut pas être exclu que des mesures d’instruction simples et proportionnées puissent permettre d’éclaircir les faits. Les conditions d’un refus d’entrer en matière posées par l’art. 310 al. 1 let. a CPP ne sont ainsi pas réunies. Il convient ainsi de renvoyer le dossier de la cause au Ministère public afin qu’il procède à tout acte d’instruction propre à élucider les faits en relation avec les infractions d’injure, de diffamation et de calomnie, notamment en auditionnant les personnes présentes au moment des évènements.</w:t>
      </w:r>
    </w:p>
    <w:p>
      <w:r>
        <w:rPr>
          <w:b/>
        </w:rPr>
        <w:t>E. 2.3.2</w:t>
      </w:r>
    </w:p>
    <w:p>
      <w:r>
        <w:t>Le recourant conteste uniquement l’argumentation de la procureure relative au cas 1, de sorte que la Chambre de céans est dispensée d’examiner la problématique en lien avec la lettre du 19 décembre 2023 par laquelle I.________ réclamait de l’argent au recourant pour du matériel qu’il aurait commandé pour son fils.</w:t>
      </w:r>
    </w:p>
    <w:p>
      <w:r>
        <w:rPr>
          <w:b/>
        </w:rPr>
        <w:t>E. 3</w:t>
      </w:r>
    </w:p>
    <w:p>
      <w:r>
        <w:t>En définitive, le recours doit être admis, l’ordonnance attaquée doit être annulée en tant qu’elle concerne les faits relatifs au cas 1, et maintenue en tant qu’elle concerne le cas 2. Le dossier de la cause sera renvoyé au Ministère public pour qu’il procède dans le sens des considérants. Les frais de procédure, constitués en l’espèce du seul émolument d’arrêt, par 990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H.________, qui obtient gain de cause et qui a procédé avec l’assistance d’un avocat de choix, a droit à une indemnité pour les dépenses occasionnées par l’exercice raisonnable de ses droits pour la procédure de recours (art. 436 CPP). Au vu du mémoire produit par Me</w:t>
      </w:r>
    </w:p>
    <w:p>
      <w:r>
        <w:t>- 9 - Pierre-Xavier Luciani ainsi que de la nature de l’affaire, cette indemnité sera fixée à 900 fr., sur la base de 3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18 fr., plus un montant correspondant à la TVA, par 74 FR. 35, soit 993 fr. au total en chiffres arrondis. Cette indemnité sera laissée à la charge de l’Etat en l’absence de partie succombante (ATF 138 IV 248 consid. 5.3, JdT 2013 IV 151), étant précisé qu’à ce stade I.________ ne participe pas à la procédure et que c’est à tort que le Ministère public lui a communiqué une copie de l’ordonnance attaquée. Compte tenu de cette communication préalable, une copie du présent arrêt lui sera donc tout de même adressée (TF 6B_912/2020 du 17 septembre 2020 consid. 1.4). Par ces motifs, la Chambre des recours pénale prononce : I. Le recours est admis. II. L’ordonnance du 12 décembre 2024 est annulée en tant qu’elle porte sur les infractions d’injure, de calomnie et de diffamation. L’ordonnance est maintenue en tant qu’elle porte sur l’infraction de tentative de contrainte. III. Le dossier de la cause est renvoyé au Ministère public de l’arrondissement de Lausanne pour qu’il procède dans le sens des considérants. IV. Les frais d’arrêt, par 990 fr. (neuf cent nonante francs), sont laissés à la charge de l’Etat. V. L’avance de frais de 770 fr. (sept cent septante francs) versée par H.________ à titre de sûretés lui est restituée.</w:t>
      </w:r>
    </w:p>
    <w:p>
      <w:r>
        <w:t>- 10 - VI. Une indemnité de 993 fr. (neuf cent nonante-trois francs) est allouée à H.________ pour la procédure de recours, à la charge de l’Etat. VII. L’arrêt est exécutoire. Le président : La greffière : Du Le présent arrêt, dont la rédaction a été approuvée à huis clos, est notifié, par l'envoi d'une copie complète, à : - Me Pierre-Xavier Luciani, avocat (pour H.________), - Ministère public central, et communiqué à : - Mme la Procureure de l’arrondissement de Lausanne, - Me Nicolas Saviaux, avocat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