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PE24.021986 vom 11. April 2025</w:t>
      </w:r>
    </w:p>
    <w:p>
      <w:r>
        <w:t>VD Tribunal cantonal, 2025-04-11, FR</w:t>
      </w:r>
    </w:p>
    <w:p>
      <w:r>
        <w:rPr>
          <w:b/>
        </w:rPr>
        <w:t xml:space="preserve">Quelle: </w:t>
      </w:r>
      <w:r>
        <w:t>https://mcp.opencaselaw.ch/entscheid/vd_gerichte_PE24.021986</w:t>
      </w:r>
    </w:p>
    <w:p>
      <w:r>
        <w:t>FR: VD_GERICHTE PE24.021986 du 11 avril 2025</w:t>
      </w:r>
    </w:p>
    <w:p>
      <w:r>
        <w:t>IT: VD_GERICHTE PE24.021986 del 11 aprile 2025</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d’E.________ est recevable.</w:t>
      </w:r>
    </w:p>
    <w:p>
      <w:r>
        <w:rPr>
          <w:b/>
        </w:rPr>
        <w:t>E. 2.1</w:t>
      </w:r>
    </w:p>
    <w:p>
      <w:r>
        <w:t>Le recourant conteste le déroulement des faits pour lesquels il a été condamné, faisant valoir en substance que les policiers en question auraient inventé certaines dimensions de son véhicule, démenties par les données de la fiche technique du constructeur, qu’ils auraient pris à tort ses manœuvres de stationnement pour une perte de contrôle de son véhicule et, enfin, qu’ils auraient essayé de lui attribuer un accident qui n’existait pas et de lui faire dire ce qu’il n’aurait pas dit. Il reproche au préfet d’avoir admis les fausses informations fournies par ces agents de police sans les avoir vérifiées, malgré ses contestations, au Tribunal de police de l’arrondissement de l’Est vaudois de ne pas avoir considéré que son stationnement n’aurait été que le résultat de l’ordre de police reçu, puis à la Chambre des recours pénale du Tribunal cantonal de ne pas avoir pris en compte le fait que la Présidente du Tribunal de police l’avait incité contre son gré à retirer son opposition pour des raisons financières. Selon lui, les agents de police en question, par leurs « attitudes non conformes » et leurs « déclarations dolosives », étaient à l’origine de la procédure pénale engagée injustement contre lui. Il soutient ainsi implicitement qu’un tel comportement pourrait réaliser l’infraction d’abus d’autorité.</w:t>
      </w:r>
    </w:p>
    <w:p>
      <w:r>
        <w:t>- 7 -</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t>- 8 -</w:t>
      </w:r>
    </w:p>
    <w:p>
      <w:r>
        <w:rPr>
          <w:b/>
        </w:rPr>
        <w:t>E. 2.2.2</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6B 923/2015 du 24 mai 2016 consid. 2.2 et les références citées).</w:t>
      </w:r>
    </w:p>
    <w:p>
      <w:r>
        <w:t>- 9 -</w:t>
      </w:r>
    </w:p>
    <w:p>
      <w:r>
        <w:rPr>
          <w:b/>
        </w:rPr>
        <w:t>E. 2.3</w:t>
      </w:r>
    </w:p>
    <w:p>
      <w:r>
        <w:t>En l’espèce, il n'existe aucun indice que les deux policiers ayant constaté les faits auraient établi un rapport mensonger pour nuire au recourant en l'exposant à une condamnation infondée pour des infractions routières inexistantes. Au contraire, le rapport emporte la conviction de son authenticité parce qu'il est précis, détaillé (par exemple l’évocation de la vibration du poteau de signalisation heurté), circonstancié et rapporte un récit vécu en présentant chronologiquement le déroulement des faits, les attitudes, propos, réactions de mauvaise foi et comportements inadéquats de l'automobiliste impliqué. Cette présentation des faits est étayée par des photos qui montrent notamment le poteau heurté par l'angle arrière gauche du véhicule et l'avant du fourgon parqué dépassant la limite de la case de stationnement. Elle est également confirmée par le recourant lui-même s'agissant de la première contravention, puisque le recourant a admis dans sa plainte qu'il tenait effectivement une cigarette électronique entre le pouce et l'index gauches (si bien qu'il manoeuvrait son volant nécessairement de l'autre main) et qu'un des policiers lui avait fait des réflexions à ce sujet (P. 4 p. 2). Enfin, s'agissant des dimensions du véhicule indiquées dans le rapport, ce qui est déterminant n'est pas l'exactitude des mesures prises ou estimées sur place par rapport aux données du constructeur selon un document produit par le recourant – en supposant qu'elles concernent bien le même modèle –, mais le fait que le véhicule était manifestement trop grand pour occuper cette place de stationnement sans en déborder ou gêner l'accès aux véhicules parqués parallèlement. Dans ces circonstances, il faut considérer que le recourant n’apporte aucun élément ou argument qui permettrait de retenir un soupçon d'abus d'autorité. C’est dès lors à juste titre que le Ministère public a refusé d’entrer en matière sur la plainte d’E.________ du 27 octobre 2024.</w:t>
      </w:r>
    </w:p>
    <w:p>
      <w:r>
        <w:rPr>
          <w:b/>
        </w:rPr>
        <w:t>E. 3</w:t>
      </w:r>
    </w:p>
    <w:p>
      <w:r>
        <w:t>Au vu de ce qui précède, le recours doit être rejeté et l’ordonnance du 8 novembre 2024 confirmée.</w:t>
      </w:r>
    </w:p>
    <w:p>
      <w:r>
        <w:t>- 10 -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Ces frais sont compensés avec le montant de 770 fr. que le recourant a versé à titre de sûretés (art. 7 TFIP). Par ces motifs, la Chambre des recours pénale prononce : I. Le recours est rejeté. II. L’ordonnance du 8 novembre 2024 est confirmée. III. Les frais d’arrêt, par 990 fr. (neuf cent nonante francs), sont mis à la charge d’E.________. IV. Le montant de 770 fr. (sept cent septante francs) déjà versé par E.________ à titre de sûretés est imputé sur les frais mis à sa charge au chiffre III ci-dessus, le solde dû par celui-ci à l’Etat s’élevant à 220 fr. (deux cent vingt francs). V. L’arrêt est exécutoire. Le président : La greffière : Du Le présent arrêt, dont la rédaction a été approuvée à huis clos, est notifié, par l'envoi d'une copie complète, à : - E.________, - Ministère public central,</w:t>
      </w:r>
    </w:p>
    <w:p>
      <w:r>
        <w:t>- 11 -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