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PE24.021932 vom 28. November 2024</w:t>
      </w:r>
    </w:p>
    <w:p>
      <w:r>
        <w:t>VD Tribunal cantonal, 2024-11-28, FR</w:t>
      </w:r>
    </w:p>
    <w:p>
      <w:r>
        <w:rPr>
          <w:b/>
        </w:rPr>
        <w:t xml:space="preserve">Quelle: </w:t>
      </w:r>
      <w:r>
        <w:t>https://mcp.opencaselaw.ch/entscheid/vd_gerichte_PE24.021932</w:t>
      </w:r>
    </w:p>
    <w:p>
      <w:r>
        <w:t>FR: VD_GERICHTE PE24.021932 du 28 novembre 2024</w:t>
      </w:r>
    </w:p>
    <w:p>
      <w:r>
        <w:t>IT: VD_GERICHTE PE24.021932 del 28 novembre 2024</w:t>
      </w:r>
    </w:p>
    <w:p>
      <w:pPr>
        <w:pStyle w:val="Heading2"/>
      </w:pPr>
      <w:r>
        <w:t>Erwägungen</w:t>
      </w:r>
    </w:p>
    <w:p>
      <w:r>
        <w:rPr>
          <w:b/>
        </w:rPr>
        <w:t>E. 1.1</w:t>
      </w:r>
    </w:p>
    <w:p>
      <w:r>
        <w:t>Les parties peuvent attaquer un mandat de perquisition rendu par le ministère public (art. 241 et 393 al. 1 let. a CPP [Code de procédure pénale suisse du 5 octobre 2007 ; RS 312.0] ; Hohl-Chirazi, Commentaire</w:t>
      </w:r>
    </w:p>
    <w:p>
      <w:r>
        <w:t>- 3 - romand, Code de procédure pénale suisse, 2e éd., Bâle 2019, n. 53 ad art. 241 CPP ; CREP 16 janvier 2024/43) dans les dix jours devant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du Ministère public qui l’a transmis à l’autorité compétente (art. 91 al. 4 CPP), et dans les formes prescrites (art. 385 al. 1 CPP), par une partie ayant un intérêt juridiquement protégé (art. 382 al. 1 CPP), le recours en tant qu’il concerne le mandat de perquisition du 12 octobre 2024, qui couvre la perquisition du même jour ayant eu lieu au domicile du recourant situé à Yverdon-les-Bains, est recevable. En revanche, le recours en tant qu’il concerne une perquisition qui aurait eu lieu le 5 octobre 2024 est irrecevable. En effet, aucune pièce au dossier ne concerne cette perquisition, dont on ignore tout, étant rappelé que les plaintes qui ont conduit à l’ouverture de la présente procédure pénale ont été déposées le 11 octobre 2024, soit postérieurement à la prétendue perquisition du 5 octobre 2024. Il appartiendra au Ministère public de donner, le cas échéant, toute suite utile à ce recours en tant qu’il concerne une perquisition du 5 octobre 2024.</w:t>
      </w:r>
    </w:p>
    <w:p>
      <w:r>
        <w:rPr>
          <w:b/>
        </w:rPr>
        <w:t>E. 2.1</w:t>
      </w:r>
    </w:p>
    <w:p>
      <w:r>
        <w:t>Le recourant fait valoir que la perquisition du 12 octobre 2024 à son domicile d’Yverdon-les-Bains ne serait pas justifiée, qu’elle s’inscrirait dans le cadre d’une tentative de harcèlement moral et de diffamation à son encontre. Il demande qu’une enquête soit ouverte sur les circonstances de cette perquisition et sur les accusations fallacieuses portées contre lui.</w:t>
      </w:r>
    </w:p>
    <w:p>
      <w:r>
        <w:rPr>
          <w:b/>
        </w:rPr>
        <w:t>E. 2.1.1</w:t>
      </w:r>
    </w:p>
    <w:p>
      <w:r>
        <w:t>; CREP 20 mars 2023/186 consid. 2.3). Pour être conforme aux exigences légales de motivation, la formulation utilisée doit permettre de saisir le but et le fondement de la perquisition. Pour que le mandat de perquisition soit conforme à ces exigences, il suffit que le procureur reprenne les termes clairs et concis de son ordonnance d’ouverture d’instruction (CREP 29 août 2014/626, in JdT 2014 III 201). La motivation du mandat de perquisition doit contenir une « description des faits poursuivis », interdisant ainsi toute recherche indéterminée de moyens de preuve (« fishing expedition »). Le degré de précision de cette description devra être examiné de cas en cas et permettre un contrôle ultérieur de la mesure de contrainte (TF 1B_243/2016 du 6 octobre 2016 consid. 4.4.2 ; CREP 23 novembre 2020/858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w:t>
      </w:r>
    </w:p>
    <w:p>
      <w:r>
        <w:t>- 5 - TF 6B_659/2022 du 17 mai 2023 consid. 3.2). La Chambre des recours pénale dispose d’un pouvoir d’examen complet en fait et en droit, permettant de guérir un tel vice procédural (TF 6B_1261/2021 du 5 octobre 2022 consid. 1.2.2 ; TF 1B_318/2021 du 25 janvier 2023 consid. 4.1).</w:t>
      </w:r>
    </w:p>
    <w:p>
      <w:r>
        <w:rPr>
          <w:b/>
        </w:rPr>
        <w:t>E. 2.2</w:t>
      </w:r>
    </w:p>
    <w:p>
      <w:r>
        <w:t>Le droit d’être entendu garanti à l’art. 29 al. 2 Cst. (Constitution fédérale de la Confédération suisse du 18 avril 1999 ; RS 101) implique, pour l’autorité, l’obligation de motiver sa décision, afin que</w:t>
      </w:r>
    </w:p>
    <w:p>
      <w:r>
        <w:t>- 4 -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54 consid. 5.2 ; ATF 139 IV 179 consid. 2.2), de manière que l’intéressé puisse se rendre compte de la portée de celle-ci et l’attaquer en connaissance de cause (ATF 143 IV 40 consid. 3.4.3 ; ATF 141 IV 249 consid. 1.3.1 ; ATF 139 IV 179 consid. 2.2 ; TF 6B_1169/2022 du 30 juin 2023 consid. 1.1). La seule référence à la norme légale est insuffisante sous l’angle des exigences de motivation de la décision (CREP 3 octobre 2023/776 consid.</w:t>
      </w:r>
    </w:p>
    <w:p>
      <w:r>
        <w:rPr>
          <w:b/>
        </w:rPr>
        <w:t>E. 2.3</w:t>
      </w:r>
    </w:p>
    <w:p>
      <w:r>
        <w:t>En l’espèce, dans son mandat, le Ministère public indique que les perquisitions domiciliaire et documentaire sont ordonnées « vu l’enquête en cours et en confirmation du mandat oral de ce jour », « pour constater l’infraction, en découvrir les auteurs, saisir tout objet et tout document ou donnée informatique utile aux investigations en cours ». Cette motivation n’est pas suffisante pour que le prévenu puisse comprendre le fondement de l’ordonnance et attaquer celle-ci en toute connaissance de cause afin que l’autorité de céans puisse exercer son contrôle. Le droit d’être entendu du recourant a ainsi manifestement été violé. Le mandat attaqué doit donc être annulé. Il appartiendra au Ministère public de statuer à nouveau, en motivant de manière succincte sa décision, la motivation devant au moins permettre de comprendre les raisons du mandat.</w:t>
      </w:r>
    </w:p>
    <w:p>
      <w:r>
        <w:rPr>
          <w:b/>
        </w:rPr>
        <w:t>E. 3</w:t>
      </w:r>
    </w:p>
    <w:p>
      <w:r>
        <w:t>Il résulte de ce qui précède que le recours doit être admis dans la mesure où il est recevable, le mandat attaqué annulé et le dossier de la cause renvoyé au Ministère public pour qu’il procède dans le sens des considérants. Vu le sort du recours, les frais de la procédure, constitués en l’espèce de l’émolument d’arrêt, par 550 fr. (art. 20 al. 1 TFIP [tarif des frais de procédure et indemnités en matière pénale du 28 septembre 2010 ; BLV 312.03.1]), seront laissés à la charge de l’Etat (art. 428 al. 4 CPP).</w:t>
      </w:r>
    </w:p>
    <w:p>
      <w:r>
        <w:t>- 6 - Par ces motifs, la Chambre des recours pénale prononce : I. Le recours est admis dans la mesure où il est recevable. II. Le mandat de perquisition et de perquisition documentaire rendu le 12 octobre 2024 est annulé. III. Le dossier de la cause est renvoyé au Ministère public de l’arrondissement du Nord vaudois pour qu’il procède dans le sens des considérants. IV. Les frais d’arrêt, par 550 fr. (cinq cent cinquante francs), sont laissés à la charge de l’Etat. V. L’arrêt est exécutoire. Le président : La greffière : Du Le présent arrêt, dont la rédaction a été approuvée à huis clos, est notifié, par l'envoi d'une copie complète, à : - M. H.________, - Ministère public central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