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PE24.021482 vom 4. Februar 2025</w:t>
      </w:r>
    </w:p>
    <w:p>
      <w:r>
        <w:t>VD Tribunal cantonal, 2025-02-04, FR</w:t>
      </w:r>
    </w:p>
    <w:p>
      <w:r>
        <w:rPr>
          <w:b/>
        </w:rPr>
        <w:t xml:space="preserve">Quelle: </w:t>
      </w:r>
      <w:r>
        <w:t>https://mcp.opencaselaw.ch/entscheid/vd_gerichte_PE24.021482</w:t>
      </w:r>
    </w:p>
    <w:p>
      <w:r>
        <w:t>FR: VD_GERICHTE PE24.021482 du 4 février 2025</w:t>
      </w:r>
    </w:p>
    <w:p>
      <w:r>
        <w:t>IT: VD_GERICHTE PE24.021482 del 4 febbraio 2025</w:t>
      </w:r>
    </w:p>
    <w:p>
      <w:pPr>
        <w:pStyle w:val="Heading2"/>
      </w:pPr>
      <w:r>
        <w:t>Erwägungen</w:t>
      </w:r>
    </w:p>
    <w:p>
      <w:r>
        <w:rPr>
          <w:b/>
        </w:rPr>
        <w:t>E. 4.1</w:t>
      </w:r>
    </w:p>
    <w:p>
      <w:r>
        <w:t>L’appelant fait valoir qu’il est parti d’Erythrée en raison du service militaire à vie dès 15-16 ans dans son pays d’origine et qu’il s’exposerait à des conséquences lourdes s’il devait faire l’objet d’une nouvelle expulsion. Il fait valoir la situation dans ce pays et a produit à l’autorité de première instance un certain nombre de documents dépeignant la situation en Erythrée. Il évoque également un Rapport annuel du Haut-Commissaire des Nations Unies du 7 mai 2024, s’agissant des personnes qui se soustraient au service militaire ou qui désertent, qui sont jugées déloyales envers le Gouvernement et l’Erythrée et qui sont considérées comme des traitres. Il fait enfin valoir une décision du 9 mai</w:t>
      </w:r>
    </w:p>
    <w:p>
      <w:r>
        <w:t>- 15 - 2023 du Comité contre la torture des Nations Unies rendue contre la Suisse dans une situation relativement similaire à la sienne.</w:t>
      </w:r>
    </w:p>
    <w:p>
      <w:r>
        <w:rPr>
          <w:b/>
        </w:rPr>
        <w:t>E. 4.2.1</w:t>
      </w:r>
    </w:p>
    <w:p>
      <w:r>
        <w:t>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4.2.2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w:t>
      </w:r>
    </w:p>
    <w:p>
      <w:r>
        <w:t>- 16 -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w:t>
      </w:r>
    </w:p>
    <w:p>
      <w:r>
        <w:t>- 17 -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w:t>
      </w:r>
    </w:p>
    <w:p>
      <w:r>
        <w:rPr>
          <w:b/>
        </w:rPr>
        <w:t>E. 4.2.3</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6B_1015/2021 du 2 novembre 2022 consid. 1.2.1 ; TF 6B_38/2021 du 14 février 2022 consid. 5.5.3). Les éventuels obstacles à l'expulsion, au sens de l'art. 66d al. 1 CP, doivent déjà être pris en compte au moment du prononcé de l'expulsion, pour autant que ces circonstances soient stables et puissent être déterminées de manière définitive (TF 6B_536/2023 du 2 octobre 2023 consid. 3.2.3 ; TF6B_884/2022 du 20 décembre 2022 consid. 3.2.1). L'art. 25 al. 3 Cst. dispose que nul ne peut être refoulé sur le territoire d'un État dans lequel il risque la torture ou tout autre traitement</w:t>
      </w:r>
    </w:p>
    <w:p>
      <w:r>
        <w:t>- 18 -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il y a lieu de désigner ou d'étayer des circonstances individuelles spécifiques qui constituent une menace pour lui, c'est-à-dire un danger "concret" au sens de l'art. 83 al. 4 LEI, par exemple en cas de guerre, de guerre civile, de violence généralisée ou de nécessité médicale (TF 6B_536/2023 précité consid. 3.2.3 et les références citées). Dans un arrêt du 20 juin 2017, la CourEDH a relevé que la situation en matière de droits de l'homme en Erythrée était alors très</w:t>
      </w:r>
    </w:p>
    <w:p>
      <w:r>
        <w:t>- 19 - préoccupante. Toutefois, aucun des rapports soumis, en particulier de l'ONU, du bureau européen d'appui en matière d'asile (European asylum support office) et d'autorités nationales (telles que le secrétariat d'État aux migrations) ne concluait que la situation générale dans ce pays était telle qu'un ressortissant érythréen risquerait d'y subir des mauvais traitements s'il y était simplement renvoyé. En soi, la situation de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l'art. 3 CEDH (arrêt M.O. contre Suisse du 20 juin 2017 [requête n° 41282/16], §§ 70 ss ; TF 6B_536/2023 précité consid. 3.2.3 ; TF 6B_1038/2021 du 9 mai 2022 consid. 8.2).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du Tribunal administratif fédéral E- 345/2022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w:t>
      </w:r>
    </w:p>
    <w:p>
      <w:r>
        <w:t>- 20 - tels sévices. L'existence d'un danger sérieux, du fait de l'accomplissement du service national, d'être exposé à une violation crasse de l'art. 4 ch. 2 CEDH (interdiction du travail forcé ou obligatoire) ne saurait ainsi être admise ; il en va de même du risque d'être soumis à un traitement inhumain ou dégradant au sens de l'art. 3 CEDH ou à un traitement prohibé par l'art. 3 de la convention du 10 décembre 1984 contre la torture (même arrêt consid. 10.5). Le risque d'être incorporé dans le service national ne constitue dès lors pas non plus, en soi, un obstacle au renvoi au sens de l'art. 83 al. 4 LEI (même arrêt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Tribunal administratif fédéral E-419/2019 du 20 août 2021 consid. 5.2 ; TF 6B_536/2023 précité consid. 3.2.3).</w:t>
      </w:r>
    </w:p>
    <w:p>
      <w:r>
        <w:rPr>
          <w:b/>
        </w:rPr>
        <w:t>E. 4.2.4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Le juge de l’expulsion est en effet tenu d’examiner lui-même, au stade du prononcé de l’expulsion déjà, si les conditions de l’art. 66a al. 2 CP sont réalisées et de renoncer à ordonner l’expulsion dans cette hypothèse (ATF 147 IV 453 consid. 1.4.5 ; ATF 145 IV 455 consid. 9.4 ; ATF 144 IV 332 consid. 3.3).</w:t>
      </w:r>
    </w:p>
    <w:p>
      <w:r>
        <w:t>- 21 - Néanmoins,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TF 6B_38/2021 du 14 février 2022 consid. 5.5.6).</w:t>
      </w:r>
    </w:p>
    <w:p>
      <w:r>
        <w:rPr>
          <w:b/>
        </w:rPr>
        <w:t>E. 4.3</w:t>
      </w:r>
    </w:p>
    <w:p>
      <w:r>
        <w:t>Dès lors qu’il est coupable de vol et de violation de domicile, G.________ se trouve dans un cas d’expulsion obligatoire (art. 66a al. 1 let. d CP) Le premier juge a considéré à juste titre qu’aucune circonstance ne justifiait de renoncer à l’expulsion. L’appelant est célibataire et sans enfant. Il est arrivé en Suisse alors qu’il était âgé de 18 ans, soit adulte. Il a vécu l’essentiel de sa vie en Erythrée. Il a été scolarisé dans son pays d’origine et l’essentiel de sa famille dont ses parents et ses six frères et sœurs vivent toujours dans son pays natal. Il n’est aucunement intégré en Suisse. Les actes qu’il a commis dans la présente affaire sont d’une gravité certaine et le risque de récidive est patent. Ses problèmes de santé mentale sont loin de revêtir la gravité requise par la jurisprudence pour empêcher son expulsion. Enfin, si l’appelant a expliqué avoir quitté son pays pour éviter l’armée, il n’a aucunement établi ni même rendu vraisemblable ce qu’il prétendait et n’a jamais évoqué ces éléments durant l’instruction, se limitant à le faire aux débats de première instance. Quand on l’interroge sur ce point, il est bien moins alarmiste que son avocate puisqu’il déclare ce qui suit : « j’ai quitté l’Erythrée car je n’avais pas de liberté pour vivre sur place. Il y avait également une</w:t>
      </w:r>
    </w:p>
    <w:p>
      <w:r>
        <w:t>- 22 - problématique par rapport au service militaire. Je ne voulais pas le faire et je ne l’ai pas fait. Si je devais rentrer en Erythrée, je risque d’aller en prison et de devoir obligatoirement faire le service militaire. Je risque la prison en raison du fait que j’ai quitté le pays sans autorisation. J’avais demandé l’asile politique en Suisse car je n’étais pas en adéquation avec le système politique de mon pays. J’ajoute spontanément que j’ai quitté mon pays car je craignais pour mon avenir » (jugement attaqué p. 4). Il n’est donc pas question de torture ou de risque pour sa vie, mais bien des conséquences somme toute classiques d’un choix personnel. G.________ admet d’ailleurs lui-même n’avoir aucun lien avec la Suisse, et s’est déclaré d’accord de partir (ibidem). Par ailleurs, on rappellera s’agissant du service militaire que la jurisprudence admet que le simple fait de s’y être soustrait n’est pas suffisant pour motiver un refus d’expulser un prévenu dans la mesure où celui-ci peut régulariser sa situation vis-à-vis du gouvernement érythréen en s’acquittant d’une taxe s’élevant à 2% de ses revenus, en rédigeant une lettre attestant de ses regrets d’avoir offensé le gouvernement et en accomplissant le service national. Enfin, à l’instar du premier juge, on peut constater que s’il est vrai que la situation des droits humains est préoccupante en Erythrée, le Tribunal administratif fédéral a confirmé qu’elle ne représentait pas, en tant que telle, un obstacle au renvoi (arrêt du 18 avril 2019, E-6449/2017, consid. 7.4 et 7.5 et arrêt du 11 janvier 2021, E-576/2019, consid. 10.3). L’intérêt public à expulser l’appelant prime ainsi son intérêt privé à demeurer en Suisse, ses déclarations étant insuffisantes et ne permettant pas de renoncer à son expulsion du territoire suisse sur la base de l’art. 66a al. 2 CP. C’est donc à bon droit que l’autorité inférieure a ordonné son expulsion. Pour être complet, on rappellera que le principe de non- refoulement rappelé ci-dessus ne fait pas obstacle au prononcé de l’expulsion. C’est ainsi à l’autorité compétente pour l’exécution de l’expulsion qu’il appartiendrait de décider, le cas échéant, si celle-ci devait être reportée conformément aux règles impératives du droit international (TF 6B_38/2021 du 14 février 2022 consid. 5.5.6). Le Tribunal pouvait</w:t>
      </w:r>
    </w:p>
    <w:p>
      <w:r>
        <w:t>- 23 - donc à juste titre mentionner qu’il appartiendrait aux autorités d’exécution d’examiner la situation à l’issue de l’exécution de la peine et que l’appelant pourra dans ce cadre faire valoir les arguments invoqués dans la présente procédure en lien avec les pièces produites dans son bordereau du 20 janvier 2025. La durée de 20 ans est, contrairement à ce que fait plaider l’appelant, adéquate au regard de sa culpabilité – non contestée –, de la gravité des infractions commises, et de la précédente expulsion ordonnée pour une durée de 7 ans (art. 66b al. 1 CP). Il en va de même de l’inscription au système d’information Schengen. Le grief doit être rejeté. 5. En définitive, l’appel de G.________ doit être rejeté et le jugement entrepris entièrement confirmé. Me Martine Tomaselli, défenseur d’office de l’appelant, a produit une liste d’opérations (P. 65) dans laquelle elle a annoncé avoir consacré 6h42 au mandat. Cette durée est adéquate. On retranchera toutefois 0h15 pour tenir compte de la durée réelle de l’audience d’appel. Au tarif horaire de 180 fr., l’indemnité de défenseur d'office qui doit être allouée pour la procédure d'appel s’élève à 1'409 fr. 85, soit des honoraires de 1'161 fr., auxquels s’ajoutent les débours forfaitaires de 2 %, par 23 fr. 20, une vacation à 120 fr. et la TVA sur le tout, par 105 fr. 65. Vu l’issue de la cause, les frais de la procédure d’appel, par 3'789 fr. 85, constitués de l’émolument de jugement et d’audience, par 2’380 fr. (art. 21 al. 1 et 2 TFIP [Tarif des frais de procédure et indemnités en matière pénale du 28 septembre 2010 ; BLV 312.03.1]), et de l’indemnité due au défenseur d’office, par 1'409 fr. 85, sont mis à la charge de G.________, qui succombe (art. 428 al. 1, 1re phrase, CPP).</w:t>
      </w:r>
    </w:p>
    <w:p>
      <w:r>
        <w:t>- 24 - Le prénommé sera tenu de rembourser à l’Etat le montant de l’indemnité en faveur de son défenseur d’office que lorsque sa situation financière le permettra.</w:t>
      </w:r>
    </w:p>
    <w:p>
      <w:r>
        <w:rPr>
          <w:b/>
        </w:rPr>
        <w:t>E. 8</w:t>
      </w:r>
    </w:p>
    <w:p>
      <w:r>
        <w:t>§ 2 CEDH (ATF 144 I 91 consid. 4.2 ; ATF 140 I 145 consid. 3.1; TF 6B_621/2023 du 29 janvier 2024 consid. 6.2.2 ; TF 6B_470/2023 précité consid. 6.2 ; TF 6B_848/2022 du 21 juin 2023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