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PE24.021449 vom 17. Dezember 2024</w:t>
      </w:r>
    </w:p>
    <w:p>
      <w:r>
        <w:t>VD Tribunal cantonal, 2024-12-17, FR</w:t>
      </w:r>
    </w:p>
    <w:p>
      <w:r>
        <w:rPr>
          <w:b/>
        </w:rPr>
        <w:t xml:space="preserve">Quelle: </w:t>
      </w:r>
      <w:r>
        <w:t>https://mcp.opencaselaw.ch/entscheid/vd_gerichte_PE24.021449</w:t>
      </w:r>
    </w:p>
    <w:p>
      <w:r>
        <w:t>FR: VD_GERICHTE PE24.021449 du 17 décembre 2024</w:t>
      </w:r>
    </w:p>
    <w:p>
      <w:r>
        <w:t>IT: VD_GERICHTE PE24.021449 del 17 dicembre 2024</w:t>
      </w:r>
    </w:p>
    <w:p>
      <w:pPr>
        <w:pStyle w:val="Heading2"/>
      </w:pPr>
      <w:r>
        <w:t>Erwägungen</w:t>
      </w:r>
    </w:p>
    <w:p>
      <w:r>
        <w:rPr>
          <w:b/>
        </w:rPr>
        <w:t>E. 3</w:t>
      </w:r>
    </w:p>
    <w:p>
      <w:r>
        <w:t>Il résulte de ce qui précède que le recours doit être rejeté et l’ordonnance attaquée confirmée. Les frais de la procédure de recours sont fixés à 1’430 fr. (art. 20 al. 1 TFIP [tarif des frais de procédure et indemnités en matière pénale du 28 septembre 2010 ; BLV 312.03.1]). La requête tendant à la désignation de Me Emmeline Filliez- Bonnard en qualité de défenseur d'office pour la procédure de recours est superfétatoire. En effet, la direction de la procédure a désigné cette dernière en qualité de défenseur d’office de M.________ le 7 octobre 2024.</w:t>
      </w:r>
    </w:p>
    <w:p>
      <w:r>
        <w:t>- 14 - Or, contrairement à ce que prévoit l’art. 119 al. 5 CPC (Code de procédure civile du 19 décembre 2008 ; RS 272) en matière civile et, depuis le 1er janvier 2024, l’art. 136 al. 3 CPP en ce qui concerne le conseil juridique gratuit au pénal, le droit à un défenseur d’office en matière pénale vaut pour toutes les étapes de la procédure et ne prend fin qu’à l’épuisement des voies de droit régies par le CPP (CREP 14 novembre 2024/823 consid.</w:t>
      </w:r>
    </w:p>
    <w:p>
      <w:r>
        <w:rPr>
          <w:b/>
        </w:rPr>
        <w:t>E. 6</w:t>
      </w:r>
    </w:p>
    <w:p>
      <w:r>
        <w:t>; CREP 16 octobre 2024/745 consid. 3 ; Harari/Corminboeuf Harari, in Commentaire romand, Code de procédure pénale suisse, 2e éd., 2019, n. 67a ad art. 136 CPP). Me Emmeline Filliez-Bonnard a produit une liste des opérations faisant état de 5 heures consacrées à la procédure de recours, ce qui ne prête pas le flanc à la critique.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900 francs. S'y ajoutent 2% pour les débours (art. 3bis al. 1 RAJ par renvoi de l'art. 26b TFIP), soit 18 fr., et 8,1% de TVA sur le tout, soit 74 fr. 35, de sorte que l'indemnité d'office est arrêtée au total à 993 fr. en chiffres arrondis. Les frais judiciaires et les frais imputables à la défense d’office seront mis à la charge du recourant, qui succombe (art. 428 al. 1 CPP). Le remboursement à l’Etat de l’indemnité allouée à Me Emmeline Filliez- Bonnard ne sera exigible du recourant que pour autant que sa situation financière le permette (art. 135 al. 4 CPP). Par ces motifs, la Chambre des recours pénale prononce : I. Le recours est rejeté. II. L’ordonnance du 8 octobre 2024 est confirmée.</w:t>
      </w:r>
    </w:p>
    <w:p>
      <w:r>
        <w:t>- 15 - III. L'indemnité allouée à Me Emmeline Filliez-Bonnard, défenseur d'office de M.________, est fixée à 993 fr. (neuf cent nonante- trois francs). IV. Les frais d’arrêt, par 1’430 fr. (mille quatre cent trente francs), ainsi que l'indemnité allouée à Me Emmeline Filliez-Bonnard, par 993 fr. (neuf cent nonante-trois francs), sont mis à la charge de M.________. V. Le remboursement à l’Etat de l’indemnité allouée au chiffre III ci-dessus ne sera exigible que pour autant que la situation financière de M.________ le permette. VI. L’arrêt est exécutoire. Le président : Le greffier : Du Le présent arrêt, dont la rédaction a été approuvée à huis clos, est notifié, par l'envoi d'une copie complète, à : - Me Emmeline Filliez-Bonnard, avocate (pour M.________), - Ministère public central, et communiqué à : ‑ Mme la Procureure cantonale Strada,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