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PE24.021411 vom 1. Oktober 2025</w:t>
      </w:r>
    </w:p>
    <w:p>
      <w:r>
        <w:t>VD Tribunal cantonal, 2025-10-01, FR</w:t>
      </w:r>
    </w:p>
    <w:p>
      <w:r>
        <w:rPr>
          <w:b/>
        </w:rPr>
        <w:t xml:space="preserve">Quelle: </w:t>
      </w:r>
      <w:r>
        <w:t>https://mcp.opencaselaw.ch/entscheid/vd_gerichte_PE24.021411</w:t>
      </w:r>
    </w:p>
    <w:p>
      <w:r>
        <w:t>FR: VD_GERICHTE PE24.021411 du 1 octobre 2025</w:t>
      </w:r>
    </w:p>
    <w:p>
      <w:r>
        <w:t>IT: VD_GERICHTE PE24.021411 del 1 ottobre 2025</w:t>
      </w:r>
    </w:p>
    <w:p>
      <w:pPr>
        <w:pStyle w:val="Heading2"/>
      </w:pPr>
      <w:r>
        <w:t>Erwägungen</w:t>
      </w:r>
    </w:p>
    <w:p>
      <w:r>
        <w:rPr>
          <w:b/>
        </w:rPr>
        <w:t>E. 1.1</w:t>
      </w:r>
    </w:p>
    <w:p>
      <w:r>
        <w:t>Selon l’art. 393 al. 1 let. a CPP (Code de procédure pénale suisse du 5 octobre 2007 ; RS 312.0), le recours est recevable contre les décisions et les actes de procédure du Ministère public. Tel est notamment le cas d’une ordonnance ayant pour objet l’exécution de la détention provisoire (Sträuli, in : Jeanneret/Kuhn/Perrier Depeursinge [éd.], Commentaire romand, Code de procédure pénale suisse, 2e éd., Bâle 2019, n. 15 ad art. 393 CPP).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dans le délai légal, auprès de l’autorité compétente et dans les formes prescrites (art. 385 al. 1 CPP), contre une ordonnance du Ministère public prononçant une interdiction de téléphoner en détention provisoire, par le prévenu qui a qualité pour recourir (art. 382 al. 1 CPP), le recours d’A.________ est recevable.</w:t>
      </w:r>
    </w:p>
    <w:p>
      <w:r>
        <w:rPr>
          <w:b/>
        </w:rPr>
        <w:t>E. 2</w:t>
      </w:r>
    </w:p>
    <w:p>
      <w:r>
        <w:t>- 6 -</w:t>
      </w:r>
    </w:p>
    <w:p>
      <w:r>
        <w:rPr>
          <w:b/>
        </w:rPr>
        <w:t>E. 2.1</w:t>
      </w:r>
    </w:p>
    <w:p>
      <w:r>
        <w:t>Invoquant une constatation incomplète ou erronée des faits et une violation des art. 235 CPP, 10 al. 2 Cst et 8 CEDH, le recourant soutient en substance qu’il connait J.________ depuis plusieurs années et qu’ils ont repris des échanges intenses, notamment épistolaires, depuis son incarcération. Il fait par ailleurs valoir que l’enquête touche à sa fin et que la décision entreprise n’est assortie d’aucune justification concrète, telle l’existence d’un risque de collusion ou d’une menace pour le déroulement de la procédure. Il en conclut que l’interdiction poursuivrait un but purement répressif et ne serait nullement proportionnée.</w:t>
      </w:r>
    </w:p>
    <w:p>
      <w:r>
        <w:rPr>
          <w:b/>
        </w:rPr>
        <w:t>E. 2.2.1</w:t>
      </w:r>
    </w:p>
    <w:p>
      <w:r>
        <w:t>L’art. 235 CPP prévoit que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 détention l'exige (TF 1B_122/2020 du 20 mars 2020 consid. 2.1 à 2.3 ; TF 1B_452/2022 du 7 mars 2023 consid. 2.2 ; TF 1B_17/2015 du 18 mars 2015 consid. 3.1 ; Schmid/Jositsch, Schweizerische Strafprozessordnung (StPO) : Praxiskommentar, 3e éd., Zurich 2018, n. 1 ad art. 235 CPP). Il appartient au législateur cantonal de régler les droits et les obligations des prévenus en détention (art. 235 al. 5 CPP ; TF 1B_452/2022 précité ; TF 1B_122/2020 précité ; TF 1B_410/2019 du 4 octobre 2019 consid. 3.1 ; TF 1B_425/2015 du 21 juin 2016 consid. 2.4.1).</w:t>
      </w:r>
    </w:p>
    <w:p>
      <w:r>
        <w:rPr>
          <w:b/>
        </w:rPr>
        <w:t>E. 2.2.2</w:t>
      </w:r>
    </w:p>
    <w:p>
      <w:r>
        <w:t>Les mesures privatives de liberté s'accompagnent inévitablement de souffrance et d'humiliation. Cela étant, l'art. 3 CEDH (Convention de sauvegarde des droits de l’homme et des libertés fondamentales du 4 novembre 1950 ; RS 0.101) impose à l'État de s'assurer que toute personne privée de liberté est détenue dans des conditions compatibles avec le respect de la dignité humaine, que les</w:t>
      </w:r>
    </w:p>
    <w:p>
      <w:r>
        <w:t>- 7 -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(arrêt CourEDH Stanev c. Bulgarie, Grande Chambre, du 17 janvier 2012, requête n° 36760/06, § 204). La garantie de la liberté personnelle (art. 10 al. 2 Cst. [Constitution fédérale de la Confédération suisse du 18 avril 1999 ; RS 101])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(ATF 150 I 50 consid. 3.2.1 ; ATF 149 I 161 consid. 2.2 ; ATF 145 I 318 consid. 2.1). La notion de « famille » visée par l'art. 8 CEDH concerne non seulement les relations fondées sur le mariage, mais aussi d'autres liens "familiaux" de facto, lorsque les parties cohabitent en dehors de tout lien marital ou lorsque d'autres facteurs démontrent qu'une relation a suffisamment de constance (ATF 150 I 50 consid. 3.2.2 ; TF 5A_219/2021 du 27 août 2021 consid. 7.2 et les références citées). L'existence d'une vie familiale est d'abord une question de fait dépendant de l'existence de liens personnels étroits. De tels liens sont reconnus s'agissant d'une relation stable qu'entretient un couple homosexuel ou hétérosexuel, qui peut être indépendante de toute cohabitation (ATF 150 I 50 consid. 3.2.2 et les réf. citées). Si la personne détenue n'a pas de proches parents ou si elle peut faire valoir un intérêt digne de protection à cet égard, elle a également le droit de recevoir la visite d'amis, de connaissances, de compatriotes ou de partenaires commerciaux (Berlinger, in : Niggli/Heer/Wiprächtiger [éd.], Basler Kommentar, Schweizerische Strafprozessordnung, Jugendstrafprozessordnung [ci-après : BSK StPO], 3e éd., Bâle 2023, n. 37 ad art. 235 CPP et les réf. citées) Conformément aux exigences de l'art. 36 Cst., les restrictions à ces droits doivent reposer sur une base légale et ne pas aller au-delà de ce qui est nécessaire au but de l'incarcération et au fonctionnement de</w:t>
      </w:r>
    </w:p>
    <w:p>
      <w:r>
        <w:t>- 8 - l'établissement de détention (ATF 150 I 50 précité ; ATF 145 I 318 précité ; ATF 143 I 241 consid. 3.4 et les références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(ATF 150 I 50 précité ; ATF 149 I 161 précité consid. 2.1 ; ATF 145 I 318 précité et les références citées). Des restrictions rigides et schématiques des contacts avec le monde extérieur ne sont ainsi pas admissibles (Berlinger, BSK StPO, op. cit., n. 34 ad art. 235 CPP et les réf. citées). Conformément à la jurisprudence du Tribunal fédéral, les visites ou les appels téléphoniques, même en faveur des proches, peuvent en revanche être refusés à la personne placée en détention provisoire en cas de danger important de collusion (ATF 143 I 241 précité consid. 3.6 et les références citées).</w:t>
      </w:r>
    </w:p>
    <w:p>
      <w:r>
        <w:rPr>
          <w:b/>
        </w:rPr>
        <w:t>E. 2.2.3</w:t>
      </w:r>
    </w:p>
    <w:p>
      <w:r>
        <w:t>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w:t>
      </w:r>
    </w:p>
    <w:p>
      <w:r>
        <w:t>- 9 - fédéral en tient compte dans la concrétisation de la liberté personnelle et des autres droits fondamentaux garantis par la Cst. et la CEDH (ATF 141 I 141 consid. 6.3.3).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(ATF 150 I 50 précité consid. 3.2.3 ; ATF 149 I 161 précité consid. 2.2 ; ATF 145 I 318 précité consid. 2.2 et les références citées).</w:t>
      </w:r>
    </w:p>
    <w:p>
      <w:r>
        <w:rPr>
          <w:b/>
        </w:rPr>
        <w:t>E. 2.2.4</w:t>
      </w:r>
    </w:p>
    <w:p>
      <w:r>
        <w:t>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w:t>
      </w:r>
    </w:p>
    <w:p>
      <w:r>
        <w:rPr>
          <w:b/>
        </w:rPr>
        <w:t>E. 2.3</w:t>
      </w:r>
    </w:p>
    <w:p>
      <w:r>
        <w:t>En l’espèce, il est vrai que depuis le début de son incarcération, le recourant a pu continuer à entretenir des contacts réguliers avec son entourage à l’occasion de visites ou d’appels téléphoniques dûment autorisés par le Ministère public (P. 96/2) et qu’il n’est ainsi pas totalement isolé. Il semble par ailleurs que ses liens avec J.________ ne sont pas particulièrement étroits, le recourant l’ayant lui- même décrite comme une vieille connaissance qu’il avait perdue de vue et qui n’avait repris contact avec lui que depuis sa mise en détention (P. 96/1).</w:t>
      </w:r>
    </w:p>
    <w:p>
      <w:r>
        <w:t>- 10 - Toutefois, ces constatations ne sauraient suffire pour justifier une interdiction de téléphoner. On rappellera en effet que l’art. 24.1 de la Recommandation Rec(2006)2 sur les Règles pénitentiaires européennes (cf. supra consid. 2.2.3) ne préconise pas seulement la possibilité de communiquer avec les membres de la famille mais également avec des tiers. En outre, pour être conforme au principe de la proportionnalité, une interdiction doit de toute manière être justifiée par le but de la détention ou par des impératifs de sécurité de l’établissement pénitentiaire où le prévenu est incarcéré. Or, il ne ressort pas des éléments du dossier qu’un appel téléphonique à J.________ mettrait en péril la sécurité du lieu où est détenu le recourant. Par ailleurs, la prénommée ne parait pas avoir un quelconque lien avec la présente cause. On relèvera en outre que le Ministère public demeure uniquement dans l’attente du rapport final de la police (cf. PV des opérations et ordonnance du TMC du 30.09.25) avant de procéder à l’audition récapitulative du recourant et clôturer son enquête et qu’il n’annonce aucune autre mesure d’instruction. Dans ces circonstances, l’existence d’un risque de collusion – du reste non invoquée par le Ministère public – apparait peu vraisemblable. Le recourant a certes fait l’objet d’un avertissement à une reprise par la direction de la procédure parce qu’il s’était entretenu par téléphone avec J.________, alors que l’autorisation délivrée par le Ministère public concernait une autre personne (P. 56). Toutefois, il ne ressort pas du dossier – et la procureure ne le soutient pas non plus – que cette manœuvre aurait eu la moindre incidence sur le déroulement de l’enquête ni que le recourant n’aurait par la suite pas tenu compte de cet avertissement. Au vu de ce qui précède, l’interdiction de téléphoner à J.________ est disproportionnée.</w:t>
      </w:r>
    </w:p>
    <w:p>
      <w:r>
        <w:rPr>
          <w:b/>
        </w:rPr>
        <w:t>E. 4</w:t>
      </w:r>
    </w:p>
    <w:p>
      <w:r>
        <w:t>Il s’ensuit que le recours doit être admis et l’ordonnance attaquée réformée en ce sens qu’A.________ est autorisé à faire un appel</w:t>
      </w:r>
    </w:p>
    <w:p>
      <w:r>
        <w:t>- 11 - téléphonique avec J.________, étant précisé que le recourant devra déposer une nouvelle demande auprès de la direction de la procédure pour le cas où il souhaiterait la recontacter par téléphone. Le recourant, qui a procédé avec l’assistance d’un conseil de choix et qui a obtenu gain de cause, a droit à une indemnité pour les dépenses occasionnées par la procédure de recours (art. 436 al. 3 CPP ; TF 6B_1004/2015 du 5 mai 2016 consid. 1.3), à la charge de l’Etat. Au vu du mémoire de recours, il sera retenu trois heures et demie d’activité nécessaire d’avocat breveté au tarif horaire de 300 fr. (art. 26a al. 3 TFIP [tarif des frais de procédure et indemnités en matière pénale du 28 septembre 2010 ; BLV 312.03.1]). L’indemnité est ainsi fixée à 1’050 francs. En y ajoutant des débours forfaitaires à concurrence de 2 % des honoraires admis (art. 19 al. 2 TDC [tarif des dépens en matière civile du 23 novembre 2010 ; BLV 270.11.6], applicable par renvoi de l’art. 26a al. 6 TFIP), par 21 fr., ainsi que la TVA sur le tout, au taux de 8,1%, par 86 fr. 75, l’indemnité se monte à 1'157 fr. 75 au total, en chiffres arrondis. Vu l’admission du recours, les frais de la procédure, constitués en l’espèce du seul émolument d'arrêt, par 1’100 fr. (art. 20 al. 1 TFIP), seront laissés à la charge de l’Etat (art. 428 al. 4 CPP). Par ces motifs, la Chambre des recours pénale prononce : I. Le recours est admis. II. L’ordonnance du 18 août 2025 est réformée en ce sens qu’A.________ est autorisé à faire un appel téléphonique avec J.________. III. Les frais d’arrêt, par 1’100 fr. (mille cent francs), sont laissés à la charge de l’Etat.</w:t>
      </w:r>
    </w:p>
    <w:p>
      <w:r>
        <w:t>- 12 - IV. Une indemnité de 1'157 fr. 75 (mille cent cinquante-sept francs et septante-cinq centimes) est allouée à A.________ pour la procédure de recours, à la charge de l’Etat. V. L’arrêt est exécutoire. Le président : La greffière : Du Le présent arrêt, dont la rédaction a été approuvée à huis clos, est notifié, par l'envoi d'une copie complète, à : - Mes Yaël Hayat et Nicola Meier, avocats (pour A.________),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