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PE24.021302 vom 10. Oktober 2024</w:t>
      </w:r>
    </w:p>
    <w:p>
      <w:r>
        <w:t>VD Tribunal cantonal, 2024-10-10, FR</w:t>
      </w:r>
    </w:p>
    <w:p>
      <w:r>
        <w:rPr>
          <w:b/>
        </w:rPr>
        <w:t xml:space="preserve">Quelle: </w:t>
      </w:r>
      <w:r>
        <w:t>https://mcp.opencaselaw.ch/entscheid/vd_gerichte_PE24.021302</w:t>
      </w:r>
    </w:p>
    <w:p>
      <w:r>
        <w:t>FR: VD_GERICHTE PE24.021302 du 10 octobre 2024</w:t>
      </w:r>
    </w:p>
    <w:p>
      <w:r>
        <w:t>IT: VD_GERICHTE PE24.021302 del 10 ottobre 2024</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devant l’autorité compétente par un détenu qui a qualité pour recourir (art. 382 al. 1 CPP), dans le délai et les formes prescrites (art. 396 CPP), le recours est recevable.</w:t>
      </w:r>
    </w:p>
    <w:p>
      <w:r>
        <w:t>- 5 -</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 modifié au 1er janvier 2024 [RO 2023 p. 468]). Les conditions prévues par l’art. 221 al. 1 CPP sont alternatives et non cumulatives (TF 7B_386/2024 du 30 avril 2024 consid. 2.3).</w:t>
      </w:r>
    </w:p>
    <w:p>
      <w:r>
        <w:rPr>
          <w:b/>
        </w:rPr>
        <w:t>E. 2.1</w:t>
      </w:r>
    </w:p>
    <w:p>
      <w:r>
        <w:t>; ATF 143 IV 316 consid. 3.1 et 3.2). Il incombe en effet au juge du fond de résoudre les questions de qualification juridique des faits poursuivis, d'apprécier la culpabilité du prévenu, ainsi que la valeur probante des moyens de preuve et/ou autres déclarations (TF 7B_683/2024 du 10 juillet 2024 consid. 2.2.2 ; TF 1B_229/2023 du 16 mai 2023 consid. 2 ; TF 1B_55/2023 du 16 février 2023 consid. 2.1).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(TF 7B_683/2024 précité consid. 2.2.2 ; TF 7B_430/2024 du 6 mai 2024 consid. 4.2.1 ; TF 7B_868/2023 du 1er décembre 2023 consid. 4.1).</w:t>
      </w:r>
    </w:p>
    <w:p>
      <w:r>
        <w:rPr>
          <w:b/>
        </w:rPr>
        <w:t>E. 3.1</w:t>
      </w:r>
    </w:p>
    <w:p>
      <w:r>
        <w:t>Le recourant conteste uniquement l’existence de soupçons sérieux de culpabilité. S’agissant du cas de Bussigny, il ressortirait des déclarations des deux prévenus et de l’ordonnance attaquée qu’il ne se trouvait pas en présence de la plaignante et de l’autre prévenu lorsque celle-ci avait retiré l’argent au bancomat. Il se trouvait en effet dans un magasin à ce moment-là, de sorte qu’on pourrait uniquement lui reprocher d’avoir sollicité de l’argent auprès de la plaignante dans le train et de l’avoir incitée à aller en retirer au bancomat lorsque le train serait arrivé à la gare de Bussigny. Selon lui, son comportement pourrait tout au plus être considéré comme de la « mendicité insistante ». Dans le second cas, il conviendrait également de tenir compte de l’âge du plaignant (88 ans), qui n’aurait pas la vivacité d’esprit, l’acuité visuelle et la capacité de discernement nécessaires pour discerner un prétendu mode opératoire organisé ; par ailleurs, la valeur du butin ne serait que de 300 fr., de sorte que l’infraction porterait sur un élément patrimonial de faible valeur au sens de l’art 172ter CP et qu’il serait donc passible d’une amende, ce qui exclurait une mise en détention provisoire. En réalité, les prévenus ne seraient que de simples mendiants essayant d’attirer la sympathie des gens qu’ils croisent en leur faisant signer des documents prétextes pour</w:t>
      </w:r>
    </w:p>
    <w:p>
      <w:r>
        <w:t>- 6 - obtenir des dons plus élevés. Ainsi, contrairement à ce qui ressortirait de l’ordonnance, les faits ne seraient pas graves.</w:t>
      </w:r>
    </w:p>
    <w:p>
      <w:r>
        <w:rPr>
          <w:b/>
        </w:rPr>
        <w:t>E. 3.2.1</w:t>
      </w:r>
    </w:p>
    <w:p>
      <w:r>
        <w:t>Conformément à l’art. 221 al. 1 CPP rappelé plus haut, il doit exister des charges suffisantes, soit de sérieux soupçons de culpabilité, à l'égard de l'intéressé.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w:t>
      </w:r>
    </w:p>
    <w:p>
      <w:r>
        <w:rPr>
          <w:b/>
        </w:rPr>
        <w:t>E. 3.2.2</w:t>
      </w:r>
    </w:p>
    <w:p>
      <w:r>
        <w:t>Selon le Tribunal fédéral, au début de l’enquête, les soupçons fondés sur les constatations émises par la police, notamment dans un</w:t>
      </w:r>
    </w:p>
    <w:p>
      <w:r>
        <w:t>- 7 - rapport d’investigation, sont suffisants pour justifier la détention provisoire (TF 1B_215/2014 du 4 juillet 2014).</w:t>
      </w:r>
    </w:p>
    <w:p>
      <w:r>
        <w:rPr>
          <w:b/>
        </w:rPr>
        <w:t>E. 3.2.3</w:t>
      </w:r>
    </w:p>
    <w:p>
      <w:r>
        <w:t>Selon l’art. 172ter CP, si l’acte ne vise qu’un élément patrimonial de faible valeur ou un dommage de moindre importance, l’auteur est, sur plainte, puni d’une amende (al. 1). Cette disposition n’est pas applicable au vol qualifié (art. 139, ch. 2 et 3), au brigandage ainsi qu’à l’extorsion et au chantage (al. 2).</w:t>
      </w:r>
    </w:p>
    <w:p>
      <w:r>
        <w:rPr>
          <w:b/>
        </w:rPr>
        <w:t>E. 3.3</w:t>
      </w:r>
    </w:p>
    <w:p>
      <w:r>
        <w:t>En l’espèce, l’argumentation du recourant n’est pas convaincante. Tout d’abord, à ce stade de l’enquête, il est plus que vraisemblable que le recourant et ses compatriotes agissent en bande en vue de soutirer de l’argent aux personnes qu’ils croisent dans la rue, notamment les plus vulnérables. Ainsi, la quotité relativement réduite des montants soustraits n’empêche pas les agissements imputés au recourant de tomber sous le coup de l’art. 139 ch. 2 CP (vol qualifié, soit un crime), l’art. 172ter al. 1 CP n’étant pas applicable dans un tel cas de figure, l’alinéa 2 de cette disposition prévoyant précisément une réserve notamment pour le vol qualifié (cf. aussi : ATF 123 IV 197 consid. 1c, JdT 1999 IV 66). Les aveux partiels du recourant, ses explications confuses sur sa soi-disant absence lors du prélèvement au bancomat, les images de vidéosurveillance et les déclarations crédibles de la mère de la première victime, U.________ souffrant d’infirmité motrice cérébrale, pour l’épisode du train, et de la seconde victime, V.________, pour l’épisode du vol de portemonnaie, sont amplement suffisants en l’état pour fonder la vraisemblance des faits reprochés au prévenu, cela d’autant plus qu’il a des antécédents pour tentative d’escroquerie et escroquerie par métier. Le moyen doit être rejeté.</w:t>
      </w:r>
    </w:p>
    <w:p>
      <w:r>
        <w:rPr>
          <w:b/>
        </w:rPr>
        <w:t>E. 4</w:t>
      </w:r>
    </w:p>
    <w:p>
      <w:r>
        <w:t>Le recourant, qui se borne à contester l’existence de soupçons suffisants de la commission d’un crime ou d’un délit, ne conteste pas la motivation du Tribunal des mesures de contrainte en relation avec l’existence du risque de fuite. Il n’y a donc pas lieu d’examiner la réalisation de ce risque et il peut être renvoyé à l’ordonnance entreprise sur ce point.</w:t>
      </w:r>
    </w:p>
    <w:p>
      <w:r>
        <w:t>- 8 -</w:t>
      </w:r>
    </w:p>
    <w:p>
      <w:r>
        <w:rPr>
          <w:b/>
        </w:rPr>
        <w:t>E. 5</w:t>
      </w:r>
    </w:p>
    <w:p>
      <w:r>
        <w:t>Enfin, le recourant ne s’en prend pas à la durée maximale de la détention de six semaines fixée par le Tribunal des mesures de contrainte. Il n’est donc, ici encore, pas nécessaire d’examiner cette question.</w:t>
      </w:r>
    </w:p>
    <w:p>
      <w:r>
        <w:rPr>
          <w:b/>
        </w:rPr>
        <w:t>E. 6</w:t>
      </w:r>
    </w:p>
    <w:p>
      <w:r>
        <w:t>En définitive le recours doit être rejeté et l’ordonnance du 6 octobre 2024 confirmée. Le défenseur d’office du recourant a indiqué qu’il produirait une liste des opérations à l’issue de l’échange d’écritures. Or, si le mandataire d’office souhaite produire un relevé de ses opérations, il doit le faire simultanément au recours et le compléter ensuite en cas de prise de position ultérieure sur d’éventuelles déterminations des autres parties, la Chambre des recours pénale n’étant pas tenue de l’interpeller ni, en l’absence d’une telle liste, de motiver son estimation de la durée raisonnable de son activité (voir à cet égard TPF BB.2019.183 du 7 novembre 2019 ad CREP 20 août 2019/645 et TPF BB2019.46 du 25 mai 2020, JdT 2020 IV 137 ; CREP 15 mars 2024/256 consid. 6). Par conséquent, au vu de la nature de la cause ainsi que de l’ampleur du mémoire de recours, on retiendra 2h30 heures d’activité nécessaire d’avocat breveté au tarif horaire de 180 fr. (art. 2 al. 1 let. a et b RAJ [Règlement sur l’assistance judiciaire en matière civile du 7 décembre 2019 ; BLV 211.02.3], applicables par renvoi de l’art. 26b TFIP [Tarif des frais de procédure et indemnités en matière pénale du 28 septembre 2010 ; BLV 312.03.1]), les honoraires s’élèveront ainsi à 450 francs. Viennent s’y ajouter des débours forfaitaires à hauteur de 2 % des honoraires admis (art. 2 al. 1 let. a et b, 3bis al. 1 et al. 3 RAJ), par 9 fr., et la TVA au taux de 8.1 %, par 37 fr. 20. L’indemnité s’élèvera ainsi à 497 fr. en chiffres arrondis. Les frais de la procédure de recours, qui sont constitués en l’espèce de l’émolument d’arrêt, par 880 fr. (art. 20 al. 1 TFIP), et de l’indemnité due au défenseur d’office (art. 422 al. 1 et 2 let. a CPP), par</w:t>
      </w:r>
    </w:p>
    <w:p>
      <w:r>
        <w:t>- 9 - 497 fr.,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6 octobre 2024 est confirmée. III. L’indemnité allouée à Me Jean-Lou Maury, défenseur d'office de S.________, est fixée à 497 fr. (quatre cent nonante-sept francs). IV. Les frais d’arrêt, par 880 fr. (huit cent huitante francs), ainsi que l'indemnité allouée à Me Jean-Lou Maury, par 497 fr. (quatre cent nonante-sept francs), sont mis à la charge de S.________. V. Le remboursement à l'Etat de l'indemnité allouée au chiffre III ci-dessus, sera exigible de S.________ dès que sa situation financière le permettra. VI. L’arrêt est exécutoire. Le président : La greffière : Du Le présent arrêt, dont la rédaction a été approuvée à huis clos, est notifié, par l'envoi d'une copie complète, à : - Me Jean-Lou Maury, avocat (pour S.________), - Ministère public central,</w:t>
      </w:r>
    </w:p>
    <w:p>
      <w:r>
        <w:t>- 10 - et communiqué à : - Mme la Présidente du Tribunal des mesures de contrainte,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