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PE24.021244 vom 25. Oktober 2024</w:t>
      </w:r>
    </w:p>
    <w:p>
      <w:r>
        <w:t>VD Tribunal cantonal, 2024-10-25, FR</w:t>
      </w:r>
    </w:p>
    <w:p>
      <w:r>
        <w:rPr>
          <w:b/>
        </w:rPr>
        <w:t xml:space="preserve">Quelle: </w:t>
      </w:r>
      <w:r>
        <w:t>https://mcp.opencaselaw.ch/entscheid/vd_gerichte_PE24.021244</w:t>
      </w:r>
    </w:p>
    <w:p>
      <w:r>
        <w:t>FR: VD_GERICHTE PE24.021244 du 25 octobre 2024</w:t>
      </w:r>
    </w:p>
    <w:p>
      <w:r>
        <w:t>IT: VD_GERICHTE PE24.021244 del 25 ottobre 2024</w:t>
      </w:r>
    </w:p>
    <w:p>
      <w:pPr>
        <w:pStyle w:val="Heading2"/>
      </w:pPr>
      <w:r>
        <w:t>Erwägungen</w:t>
      </w:r>
    </w:p>
    <w:p>
      <w:r>
        <w:rPr>
          <w:b/>
        </w:rPr>
        <w:t>E. 1</w:t>
      </w:r>
    </w:p>
    <w:p>
      <w:r>
        <w:t>Le Ministère public cantonal Strada (ci-après : Ministère public) a ouvert une enquête préliminaire à l’encontre de R.________ pour vol, dommages à la propriété et violation de domicile (art. 139 ch. 1, 144 al. 1 et 186 CP). R.________ a été interpellée le 2 octobre 2024 à 20h45. L’audition d’arrestation par le Ministère public a eu lieu le 4 octobre 2024. 351</w:t>
      </w:r>
    </w:p>
    <w:p>
      <w:r>
        <w:t>- 2 -</w:t>
      </w:r>
    </w:p>
    <w:p>
      <w:r>
        <w:rPr>
          <w:b/>
        </w:rPr>
        <w:t>E. 2</w:t>
      </w:r>
    </w:p>
    <w:p>
      <w:r>
        <w:t>Le 4 octobre 2024, le Ministère public a adressé au Tribunal des mesures de contrainte une demande motivée de mise en détention provisoire de R.________ pour une durée de trois mois, invoquant des risques de fuite, de collusion et de récidive, et estimant le principe de proportionnalité respecté. Dans ses déterminations du 5 octobre 2024, R.________ a conclu, principalement, au rejet de la demande de détention provisoire présentée par le Ministère public et à sa libération au plus tard le 7 octobre 2024 et, subsidiairement, à ce que la durée de la détention provisoire soit limitée à trois semaines. Par ordonnance du 6 octobre 2024, le Tribunal des mesures de contrainte a ordonné la détention provisoire de R.________ (I), a fixé la durée maximale de la détention provisoire à 2 mois, soit au plus tard jusqu’au 1er décembre 2024 (II) et a dit que les frais de la décision, par 450 fr., suivaient le sort de la cause (III).</w:t>
      </w:r>
    </w:p>
    <w:p>
      <w:r>
        <w:rPr>
          <w:b/>
        </w:rPr>
        <w:t>E. 3</w:t>
      </w:r>
    </w:p>
    <w:p>
      <w:r>
        <w:t>Par acte du 16 octobre 2024, R.________, agissant par son défenseur d’office, a recouru contre cette ordonnance, en concluant, avec suite de frais et dépens, à sa réforme en ce sens qu’elle ordonne sa libération immédiate de la détention provisoire. Subsidiairement, elle a conclu à son annulation et à ce que la cause soit renvoyée au Tribunal des mesures de contrainte pour nouvelle décision dans le sens des considérants de l’arrêt à intervenir.</w:t>
      </w:r>
    </w:p>
    <w:p>
      <w:r>
        <w:rPr>
          <w:b/>
        </w:rPr>
        <w:t>E. 4</w:t>
      </w:r>
    </w:p>
    <w:p>
      <w:r>
        <w:t>Le 22 octobre 2024, le Ministère public cantonal Strada a ordonné la relaxe immédiate de R.________. Au vu de la libération de R.________, le recours est devenu sans objet et la cause doit être rayée du rôle (art. 382 al. 1 CPP ; ATF 142 I 135 consid. 1.3.1 ; ATF 139 I 206 consid. 1.1 ; ATF 137 I 296 consid. 4.2).</w:t>
      </w:r>
    </w:p>
    <w:p>
      <w:r>
        <w:t>- 3 -</w:t>
      </w:r>
    </w:p>
    <w:p>
      <w:r>
        <w:rPr>
          <w:b/>
        </w:rPr>
        <w:t>E. 5</w:t>
      </w:r>
    </w:p>
    <w:p>
      <w:r>
        <w:t>Les frais de la procédure de recours sont fixés à 330 fr. (art. 20 al. 1 TFIP [tarif des frais de procédure et indemnités en matière pénale du 28 septembre 2010 ; BLV 312.03.1]). Compte tenu de la nature de l’affaire et de l’acte de recours déposé, l’indemnité allouée à Me Adrienne Favre, défenseur d’office de R.________, sera fixée à 420 fr., correspondant à une activité nécessaire d’avocat breveté de 30 minutes rémunérées au tarif horaire de 180 fr. et à 3 heures de travail d’avocat-stagiaire, rémunérées au tarif horaire de 110 fr. (art. 2 al. 1 let. a et 3 al. 2 RAJ [règlement sur l'assistance judiciaire en matière civile du 7 décembre 2010 ; BLV 211.02.3], par renvoi de l’art. 26b TFIP). S'y ajoutent 2 % pour les débours forfaitaires (art. 3bis al. 1 RAJ), soit 8 fr. 40, et 8,1 % de TVA sur le tout, par 34 fr. 70, de sorte que l'indemnité d'office est arrêtée au total à 464 fr. en chiffres arrondis. Les frais judiciaires et les frais imputables à la défense d’office seront laissés à la charge de l’Etat, le recours étant devenu sans objet en raison de circonstances non imputables à la recourante (art. 423 al. 1 CPP ; TF 1B_308/2021 du 5 juillet 2021 consid. 3 ; TF 1B_123/2021 du 27 avril 2021 consid. 7.2). Par ces motifs, la Chambre des recours pénale prononce : I. Le recours est sans objet. II. La cause est rayée du rôle. III. L'indemnité allouée à Me Adrienne Favre, défenseur d’office de R.________, est fixée à 464 fr. (quatre cent soixante-quatre francs). IV. Les frais d’arrêt, par 330 fr. (trois cent trente francs), ainsi que l’indemnité due au défenseur d’office de R.________, par 464 fr. (quatre cent soixante-quatre francs), sont laissés à la charge de l’Etat.</w:t>
      </w:r>
    </w:p>
    <w:p>
      <w:r>
        <w:t>- 4 - V. L’arrêt est exécutoire. Le président : La greffière :</w:t>
      </w:r>
    </w:p>
    <w:p>
      <w:r>
        <w:t>- 5 - Du Le présent arrêt, dont la rédaction a été approuvée à huis clos, est notifié, par l'envoi d'une copie complète, à : - Me Adrienne Favre, avocate (pour R.________), - Ministère public central, et communiqué à : - Mme la Présidente du Tribunal des mesures de contrainte, - M. le Procureur cantonal Strada,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