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PE24.020801 vom 27. Juni 2025</w:t>
      </w:r>
    </w:p>
    <w:p>
      <w:r>
        <w:t>VD Tribunal cantonal, 2025-06-27, FR</w:t>
      </w:r>
    </w:p>
    <w:p>
      <w:r>
        <w:rPr>
          <w:b/>
        </w:rPr>
        <w:t xml:space="preserve">Quelle: </w:t>
      </w:r>
      <w:r>
        <w:t>https://mcp.opencaselaw.ch/entscheid/vd_gerichte_PE24.020801</w:t>
      </w:r>
    </w:p>
    <w:p>
      <w:r>
        <w:t>FR: VD_GERICHTE PE24.020801 du 27 juin 2025</w:t>
      </w:r>
    </w:p>
    <w:p>
      <w:r>
        <w:t>IT: VD_GERICHTE PE24.020801 del 27 giugno 2025</w:t>
      </w:r>
    </w:p>
    <w:p>
      <w:pPr>
        <w:pStyle w:val="Heading2"/>
      </w:pPr>
      <w:r>
        <w:t>Erwägungen</w:t>
      </w:r>
    </w:p>
    <w:p>
      <w:r>
        <w:rPr>
          <w:b/>
        </w:rPr>
        <w:t>E. 1.1</w:t>
      </w:r>
    </w:p>
    <w:p>
      <w:r>
        <w:t>Selon l’art. 393 al. 1 let. a CPP, le recours est recevable contre les décisions et actes de procédure du Ministère public. Une ordonnance du Ministère public valant refus de retrancher des pièces du dossier est ainsi en principe susceptible de recours selon les art. 393 ss CPP (ATF 143 IV 475 consid. 2 ; TF 1B_485/2021 du 26 novembre 2021 consid. 2.4 ; CREP 5 janvier 2024/32 consid. 1.1 ; CREP 7 juillet 2023/556 consid. 1).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w:t>
      </w:r>
    </w:p>
    <w:p>
      <w:r>
        <w:rPr>
          <w:b/>
        </w:rPr>
        <w:t>E. 1.2</w:t>
      </w:r>
    </w:p>
    <w:p>
      <w:r>
        <w:t>En l’espèce, interjeté dans le délai légal auprès de l’autorité compétente, par le prévenu qui a qualité pour recourir (art. 382 al. 1 CPP), et satisfaisant aux conditions de forme prescrites (art. 385 al. 1 CPP), le recours de M.________ est recevable.</w:t>
      </w:r>
    </w:p>
    <w:p>
      <w:r>
        <w:rPr>
          <w:b/>
        </w:rPr>
        <w:t>E. 2</w:t>
      </w:r>
    </w:p>
    <w:p>
      <w:r>
        <w:t>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Le Tribunal fédéral a par ailleurs considéré que la limite de la durée d’une peine privative de liberté prévue par l’art. 132 al. 3 CPP – soit plus de quatre mois – était applicable également en cas de cumul de peines (TF 1B_162/2015 du 1er juillet 2015 consid. 2.2 ;</w:t>
      </w:r>
    </w:p>
    <w:p>
      <w:r>
        <w:t>- 10 - Harari/Jakob/Santamaria, op. cit., n. 63 ad art. 132 CPP). Ainsi, dans l’appréciation de la sanction, l’autorité tiendra compte de l’éventuelle révocation d’un sursis (TF 7B_839/2023 du 26 mars 2024 consid. 2.5 ; Moreillon/Parein-Reymond, op. cit., n. 30 ad art. 132 CPP et la référence citée).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TF 7B_611/2023 précité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précité consid. 3.2.1).</w:t>
      </w:r>
    </w:p>
    <w:p>
      <w:r>
        <w:rPr>
          <w:b/>
        </w:rPr>
        <w:t>E. 2.1</w:t>
      </w:r>
    </w:p>
    <w:p>
      <w:r>
        <w:t>Le recourant invoque que, dès l’ouverture de l’enquête, il ressortait du dossier, et en particulier du rapport de police et de son audition, qu’il disposait – et dispose toujours – de facultés mentales substantiellement altérées. En effet, selon les témoins, il était alcoolisé au moment des faits, il a été signalé par la police comme un individu « perturbé » causant du « scandale », en fuite d’un [...], à l’assurance- invalidité, faisant l’objet d’une curatelle et ayant tenu des propos irrationnels et adopté un comportement erratique et inadéquat. Il précise même qu’après ces événements, il a fait l’objet d’un internement psychiatrique. Il se réfère en outre au rapport médical établi le</w:t>
      </w:r>
    </w:p>
    <w:p>
      <w:r>
        <w:t>- 6 - 22 novembre 2024 par la Dre [...], duquel il ressort qu’il souffre d’un « traumatisme psychique chronique depuis l’enfance avec comorbidités psychiatriques multiples » comprenant des « symptômes dissociatifs (expérience d’altération de soi, confusion d’identité, transe, discontinuité dans le temps, problèmes de mémoire, perplexité par rapport à soi-même, perte de temporalité, etc.) ». Il apparaît également qu’il recourt à l’alcool comme « une forme d’automédication, pour éviter les débordements émotionnels », mais que cette consommation l’amène à avoir des comportements « socialement inacceptables » avec une « perte de contrôle de son comportement » et qu’il présente un « risque suicidaire extrêmement élevé ». Le recourant en déduit que le Ministère public disposait donc initialement d’indices sérieux, concrets et concordants suggérant qu’il souffrait de troubles mentaux sévères qui justifiaient la présence d’un défenseur lors de son audition, de sorte que les art. 130 et 131 CPP auraient été violés.</w:t>
      </w:r>
    </w:p>
    <w:p>
      <w:r>
        <w:rPr>
          <w:b/>
        </w:rPr>
        <w:t>E. 2.2.1</w:t>
      </w:r>
    </w:p>
    <w:p>
      <w:r>
        <w:t>Aux termes de l’art. 130 CPP, le prévenu doit avoir un défenseur dans les cas suivants : (let. a) la détention provisoire, y compris la durée de l’arrestation provisoire, a excédé dix jours ; (let. b) il encourt une peine privative de liberté de plus d’un an, une mesure entraînant une privation de liberté ou une expulsion ; (let. c) en raison de son état physique ou psychique ou pour d’autres motifs, il ne peut pas suffisamment défendre ses intérêts dans la procédure et ses représentants légaux ne sont pas en mesure de le faire ; (let. d) le Ministère public intervient personnellement devant le tribunal de première instance ou la juridiction d’appel ; ou (let. e) une procédure simplifiée (art. 358 à 362 CPP) est mise en œuvre.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avant la première audition exécutée par le ministère public ou, en son nom, par la police (al. 2). Les preuves</w:t>
      </w:r>
    </w:p>
    <w:p>
      <w:r>
        <w:t>- 7 - administrées avant qu’un défenseur ait été désigné, alors même que la nécessité d’une défense aurait dû être reconnue, ne sont exploitables qu’à condition que le prévenu renonce à en répéter l’administration (al. 3). Les moyens issus de la première administration des preuves – in primis, le procès-verbal d’audition – sont écartés du dossier, conservés à part jusqu’à la clôture définitive de la procédure, puis détruits (art. 141 al. 5 CPP ; Harari/Jakob/Santamaria, in : Jeanneret et al. [éd.], Commentaire romand, Code de procédure pénale suisse, 2e éd., Bâle, 2019, n. 18b ad art. 131 et les références citées ; Ruckstuhl, in Niggli/Heer/Wiprächtiger [éd.], Basler Kommentar, Schweizerische Strafprozessordnung, Jugendstrafprozessordnung, 3e éd., Bâle 2023, n. 6b ad art. 131 CPP et la référence citée).</w:t>
      </w:r>
    </w:p>
    <w:p>
      <w:r>
        <w:rPr>
          <w:b/>
        </w:rPr>
        <w:t>E. 2.2.2</w:t>
      </w:r>
    </w:p>
    <w:p>
      <w:r>
        <w:t>Selon la jurisprudence rendue à propos de l’art. 130 let. c CPP,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1B_229/2021 du 9 septembre 2021 consid. 3.1 ; TF 6B_1331/2020 du 18 janvier 2021 consid. 2.2.3 ; TF 6B_508/2020 du 7 janvier 2021 consid. 2.1.1 ; TF 1B_493/2019 du 20 décembre 2019 consid. 2.1 ; TF 1B_285/2016 du 1er septembre 2016 consid. 2.1 et les références citées). Dans la doctrine, l’hypothèse prévue à l’art. 130 let. c CPP est notamment réalisée lorsque le prévenu n’est plus à même – de façon temporaire ou permanente – d’assurer, intellectuellement ou physiquement, sa participation à la procédure, à l’image des cas visés par l’art. 114 al. 2 et 3 CPP (Harari/Jakob/Santamaria, op. cit., n. 26 ad art. 130 CPP ; Schmid/Jositsch, Schweizerische Strafprozessordnung [StPO], Praxiskommentar, 3e éd. 2019, n. 9 ad 130 CPP ; Moreillon/Parein-</w:t>
      </w:r>
    </w:p>
    <w:p>
      <w:r>
        <w:t>- 8 - Reymond, Petit commentaire CPP, 2e éd. 2016, n. 15 ad art. 130 CPP). A titre d’incapacités personnelles, il peut s’agir de dépendances à l’alcool, aux stupéfiants ou à des médicaments susceptibles d’altérer les capacités psychiques (Lieber, in Donatsch/Lieber/Summers/Wohlers [éd.], Kommentar zur Schweizerischen Strafprozessordnung, 3e éd. 2020, vol. I, n. 19 ad art. 130 CPP ; Harari/Jakob/Santamaria, op. cit., n. 26 ad art. 130 CPP ; Moreillon/Parein-Reymond, op. cit., n. 16 ad art. 130 CPP), ainsi que de troubles mentaux sévères (cf. Harari/Jakob/Santamaria, op. cit., n. 26 ad art. 130 CPP). S’agissant plus particulièrement des empêchements psychiques, il n’est pas nécessaire que le prévenu souffre de troubles d’ordre psychiatrique, mais il suffit de pouvoir établir qu’il ne saisit pas ou plus les enjeux auxquels il est confronté dans la procédure pénale (Lieber, op. cit., n. 19 ad art. 130 CPP ; Harari/Jakob/Santamaria, op. cit., n. 26 ad art. 130 CPP ; Moreillon/Parein-Reymond op. cit., n. 17 ad art. 130 CPP). Le fait que le requérant soit sous curatelle ou qu’il suive une thérapie dans un centre de réhabilitation pour personnes dépendantes à l’alcool et aux stupéfiants ne suffit pas à démontrer une prétendue incapacité psychique de procéder (TF 6B_508/2020 précité consid. 2.1.1 ; TF 1B_493/2019 précité consid. 2.1 ; TF 1B_314/2015 du 23 octobre 2015 consid. 2.2 ; Liber, op. cit., n. 19a ad art. 130 CPP ; Harari/Jakob/Santamaria, op. cit., n. 26 ad art. 130 CPP).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1B_229/2021 précité consid.3.1 ; TF 6B_508/2020 précité consid. 2.1.1 ; TF 1B_493/2019 précité consid. 2.1 ; TF 1B_285/2016 précité consid. 2.1 et les références citées). Il s’ensuit qu’il appartient à la direction de la procédure, non au médecin, d’apprécier si le prévenu peut suffisamment</w:t>
      </w:r>
    </w:p>
    <w:p>
      <w:r>
        <w:t>- 9 - se défendre. Il revient seulement au médecin d’attester des effets concrets de l’état de santé du prévenu sur la capacité de celui-ci de comprendre les enjeux et de participer aux actes de la procédure, pour que la direction de la procédure puisse, compte tenu de ces effets, apprécier si le prévenu peut suffisamment se défendre (mêmes arrêts). Si les conditions légales sont remplies, la direction de la procédure devra veiller à ce que le prévenu soit défendu même si l’infraction n’est pas ou peu grave. Le Tribunal fédéral considère que lorsque le représentant légal est un avocat expérimenté ou un curateur professionnel, il est en principe apte à défendre les intérêts du prévenu (TF 6B_79/2017 du 22 mars 2017 consid. 2.1 ; TF 1B_279/2014 du 3 novembre 2014 consid. 2.1.2, SJ 2015 I 172 et les références citées), mais a invoqué, avec une apparence d’approbation, la doctrine préconisant que la représentation ne puisse être assurée par le représentant légal que pour des problématiques liées à des contraventions ou en lien avec des cas dits bagatelle, voire que le curateur doive être au bénéfice d’une formation juridique (Harari/Jakob/Santamaria, op. cit., n. 31 ad art. 130 CPP).</w:t>
      </w:r>
    </w:p>
    <w:p>
      <w:r>
        <w:rPr>
          <w:b/>
        </w:rPr>
        <w:t>E. 2.2.3</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w:t>
      </w:r>
    </w:p>
    <w:p>
      <w:r>
        <w:rPr>
          <w:b/>
        </w:rPr>
        <w:t>E. 2.3.1</w:t>
      </w:r>
    </w:p>
    <w:p>
      <w:r>
        <w:t>En l’espèce, il ressort du rapport de police que, le 28 septembre 2024, le recourant était alcoolisé et perturbé, qu’il vivait en foyer et était sous curatelle. Il n’apparaît pas que, lors de son audition,</w:t>
      </w:r>
    </w:p>
    <w:p>
      <w:r>
        <w:t>- 11 - près de 30 heures plus tard, le recourant ait encore présenté des signes pouvant laisser penser qu’il était dans l’incapacité de suivre la procédure, de comprendre les accusations portées à son encontre et/ou de prendre raisonnablement position à cet égard, notamment pour les motifs médicaux mentionnés dans le rapport médial qu’il a produit postérieurement. Il ressort au contraire de cette audition qu’il avait compris les enjeux, même s’il ne se souvenait pas des faits et qu’il les regrettait. Il faut dès lors en déduire que le recourant ne rend pas vraisemblable ou même plausible qu’il n’était intellectuellement ou physiquement pas capable d’assurer sa participation à la procédure ou à tout le moins que le procureur aurait dû s’en rendre compte. Comme le relève la jurisprudence précitée (cf. supra consid. 2.2.2), le fait qu’il pouvait être dépendant à l’alcool et sous curatelle ne suffit à cet égard pas – étant précisé que son prétendu état d’ivresse devait être résolu au vu du temps écoulé. C’est donc à raison que le Ministère public a considéré que le recourant n’était pas dans un cas de défense obligatoire au sens de l’art. 130 let. c CPP. Mal fondé, le moyen du recourant doit être rejeté.</w:t>
      </w:r>
    </w:p>
    <w:p>
      <w:r>
        <w:rPr>
          <w:b/>
        </w:rPr>
        <w:t>E. 2.3.2</w:t>
      </w:r>
    </w:p>
    <w:p>
      <w:r>
        <w:t>En revanche, il ressort de l’ordonnance pénale rendue le 29 septembre 2024, soit le jour même de l’audition du recourant, que le Ministère public l’a non seulement condamné à une peine privative de liberté de 110 jours, mais a également révoqué le sursis qui lui avait été octroyé dans une ordonnance pénale du 19 mai 2022 et, par voie de conséquence, l’a également condamné à une peine pécuniaire d’ensemble ferme de 70 jours-amende à 30 fr. le jour. Ce faisant, et en raison de la révocation du sursis et du cumul des deux peines, il faut considérer que l’affaire n’était pas de peu de gravité, au sens de l’art. 132 al. 2 et 3 CPP. D’ailleurs, lors de l’audition du recourant, qui a duré de 13h55 à 14h15, le Ministère public savait quelle serait la quotité des peines infligées dans l’ordonnance pénale, puisque celle-ci – qui compte trois pages – a été notifiée au recourant à la fin de celle-ci. A cela s’ajoute que, vingt jours après la reddition de l’ordonnance pénale, le Ministère public a désigné un défenseur d’office au recourant, au motif qu’il était indigent et que</w:t>
      </w:r>
    </w:p>
    <w:p>
      <w:r>
        <w:t>- 12 - l’assistance d’un défenseur était justifiée pour défendre ses intérêts, au sens de l’art. 132 CPP. Le Ministère public a donc admis que la cause présentait des difficultés objectives et subjectives que le recourant n’était pas capable de surmonter seul. Or, ces difficultés étaient déjà présentes lors de l’audition, la situation du recourant n’ayant pas changé. Au vu de ce qui précède, il faut admettre qu’un défenseur d’office aurait dû être désigné au recourant lors de son audition du 29 septembre 2024. Le procès-verbal de cette audition est donc inexploitable, ce qu’il convient de constater. En outre, il y a lieu de le retrancher du dossier, au vu de la conclusion prise par le recourant.</w:t>
      </w:r>
    </w:p>
    <w:p>
      <w:r>
        <w:rPr>
          <w:b/>
        </w:rPr>
        <w:t>E. 2.3.3</w:t>
      </w:r>
    </w:p>
    <w:p>
      <w:r>
        <w:t>Enfin, le recourant sollicite également le retranchement d’actes relatifs à ce procès-verbal, sans préciser dans ses conclusions ou sa motivation de quels actes il pourrait s’agir, de sorte qu’il n’y pas lieu de donner suite à cette conclusion. A toutes fins utiles, on précisera que, dès lors que le recourant a formé opposition, l’ordonnance pénale du 29 septembre 2024 n’est pas entrée en force (cf. art. 354 al. 4 CPP) ni n’est exécutoire (Gilliéron/Killias, in Commentaire romand, précité, n. 16 ad art. 354 CPP). Du reste, le recourant ne soutient pas que l’ordonnance pénale précitée devrait être retranchée du dossier.</w:t>
      </w:r>
    </w:p>
    <w:p>
      <w:r>
        <w:rPr>
          <w:b/>
        </w:rPr>
        <w:t>E. 3</w:t>
      </w:r>
    </w:p>
    <w:p>
      <w:r>
        <w:t>Il résulte de ce qui précède que le recours doit être admis et l’ordonnance attaquée réformée dans le sens des considérants. L’ordonnance sera confirmée pour le surplus. Vu l’issue de la cause, les frais de la procédure de recours, constitués de l’émolument d’arrêt (art. 422 al. 1 CPP), par 1’320 fr. (art. 20 al. 1 TFIP [Tarif des frais de procédure et indemnités en matière pénale du 28 septembre 2010 ; BLV 312.03.1]), et des frais imputables à la défense d’office pour la présente procédure de recours (art. 422 al. 1 et 2 let. a CPP), fixés à 596 fr. en chiffres arrondis, qui comprennent des honoraires par 540 fr., pour trois heures d’activité nécessaire d’avocat à 180 fr. l’heure, des débours forfaitaires par 10 fr. 80 (cf. art. 26b TFIP qui renvoie à l’art. 3bis RAJ [règlement sur l’assistance judiciaire en matière civile du 7</w:t>
      </w:r>
    </w:p>
    <w:p>
      <w:r>
        <w:t>- 13 - décembre 2010 ; BLV 211.02.3]) et la TVA sur le tout, au taux de 8,1 %, par 44 fr. 60, seront laissés à la charge de l’Etat (art. 423 al. 1 CPP). Par ces motifs, la Chambre des recours pénale prononce : I. Le recours est admis. II. L’ordonnance du 7 janvier 2025 est réformée au chiffre I de son dispositif comme il suit : « I. admet la requête et dit que le procès-verbal de l’audition de M.________ du 29 septembre 2024 est inexploitable, lequel sera retranché du dossier ». L’ordonnance est confirmée pour le surplus. III. L’indemnité due à Me David Pressouyre pour la procédure de recours est fixée à 596 fr. (cinq cent nonante-six francs). IV. Les frais d’arrêt, par 1’320 fr. (mille trois cent vingt francs), ainsi que l’indemnité due au défenseur d’office de M.________, par 596 fr. (cinq cent nonante-six francs), sont laissés à la charge de l’Etat. V. L’arrêt est exécutoire. Le président : La greffière : Du Le présent arrêt, dont la rédaction a été approuvée à huis clos, est notifié, par l’envoi d’une copie complète, à : - Me David Pressouyre, avocat (pour M.________), - Ministère public central,</w:t>
      </w:r>
    </w:p>
    <w:p>
      <w:r>
        <w:t>- 14 -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