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PE24.020614 vom 9. Februar 2026</w:t>
      </w:r>
    </w:p>
    <w:p>
      <w:r>
        <w:t>VD Tribunal cantonal, 2026-02-09, FR</w:t>
      </w:r>
    </w:p>
    <w:p>
      <w:r>
        <w:rPr>
          <w:b/>
        </w:rPr>
        <w:t xml:space="preserve">Quelle: </w:t>
      </w:r>
      <w:r>
        <w:t>https://mcp.opencaselaw.ch/entscheid/vd_gerichte_PE24.020614</w:t>
      </w:r>
    </w:p>
    <w:p>
      <w:r>
        <w:t>FR: VD_GERICHTE PE24.020614 du 9 février 2026</w:t>
      </w:r>
    </w:p>
    <w:p>
      <w:r>
        <w:t>IT: VD_GERICHTE PE24.020614 del 9 febbraio 2026</w:t>
      </w:r>
    </w:p>
    <w:p>
      <w:pPr>
        <w:pStyle w:val="Heading2"/>
      </w:pPr>
      <w:r>
        <w:t>Erwägungen</w:t>
      </w:r>
    </w:p>
    <w:p>
      <w:r>
        <w:rPr>
          <w:b/>
        </w:rPr>
        <w:t>E. 2</w:t>
      </w:r>
    </w:p>
    <w:p>
      <w:r>
        <w:t>février 2012 consid. 2.4.1). Même si l’auteur répare subséquemment le dommage causé à la dupe cela n’a pas pour effet d’annuler rétroactivement l’escroquerie (ATF 102 IV 84 consid. 4, JdT 1978 IV 103 et les réf. cit. ; TF 6B_663/2011 précité). Lorsque la dupe reçoit une contre-prestation équivalente en échange de sa propre prestation, un dommage peut néanmoins être réalisé si les deux prestations se trouvent dans un rapport 13J010</w:t>
      </w:r>
    </w:p>
    <w:p>
      <w:r>
        <w:t>- 12 - de valeur moins favorable que celui que la dupe s’était représentée de manière erronée (ATF 122 II 422 consid. 3b)aa) ; ATF 113 Ib 170 consid. 3c)bb) ; TF 6B_316/2009 du 21 juillet 2009 consid. 3.2).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TF 6B_372/2022 du 1er mars 2023 consid. 1.2.2). 3.2.2 Selon l’art. 172ter CP, si l’acte ne vise qu’un élément patrimonial de faible valeur ou un dommage de moindre importance, l’auteur est, sur plainte, puni d’une amende. 3.2.3 Selon l’art. 179decies CP, quiconque utilise l’identité d’une autre personne sans son consentement dans le dessein de lui nuire ou de se procurer ou de procurer à un tiers un avantage illicite est, sur plainte, puni d’une peine privative de liberté d’un an au plus ou d’une peine pécuniaire. Cette disposition ne doit pas permettre de punir le fait de s’affubler de l’identité d’un tiers dans un élan d’exubérance ou d’espièglerie, ni celui d’utiliser une identité inventée. Elle ne doit s’appliquer qu’à l’auteur qui agit dans l’intention de causer un dommage ou d’obtenir un avantage (Message concernant la loi fédérale sur la révision totale de la loi fédérale sur la protection des données et sur la modification d’autres lois fédérales, FF 2017 pp. 6565 ss, spéc. p. 6741). L'art. 179decies CP constitue ainsi un délit intentionnel. Il suppose en outre un dessein spécial, qui peut se présenter sous deux formes alternatives, soit le dessein de nuire à sa victime ou celui de se procurer ou de procurer à un tiers un avantage illicite. Selon le Message, la nuisance causée par l’usurpation d’identité peut être de nature matérielle ou immatérielle et doit atteindre un certain degré pour que la disposition 13J010</w:t>
      </w:r>
    </w:p>
    <w:p>
      <w:r>
        <w:t>- 13 - s’applique. La seule intention de causer de graves ennuis peut déjà être considérée comme une nuisance suffisante (Message, op. cit., p. 6742). 3.2.4 Il ressort du Message concernant la loi fédérale sur la révision totale de la loi fédérale sur la protection des données et sur la modification d’autres lois fédérales (Message op. cit., p. 6742) que si l’usurpation d’identité sert à commettre une escroquerie pour obtenir un avantage illicite, l’infraction d’escroquerie devrait englober celle d’usurpation d’identité (commise normalement en premier). Toutefois, la doctrine majoritaire considère qu’il s’agit de deux biens juridiquement protégés différents, et qu’un concours parfait devrait être retenu (Métille, in : Macaluso et al. [éd.], Commentaire romand, Code pénal II, 2e éd. 2025, n. 34 ad art. 179decies CP). L’infraction d’usurpation d’identité peut donc entrer en concours avec d’autres infractions, typiquement l’escroquerie, la soustraction de données personnelles, etc. (Camille Perrier Depeursinge/Sylvain Métille/Joëlle Vuille, Lutter contre la cybercriminalité, in Publication CEDIDAC 2024, p. 32). 3.3 En l’espèce, il convient de relever que l’incrimination d’usurpation d’identité prévue à l’article 179decies CP est récente. À cet égard, l’appelante fait valoir avec raison que la question du concours entre cette infraction et celle d’escroquerie n’a, à ce jour, fait l’objet d’aucune décision du Tribunal fédéral. Cela étant, la doctrine majoritaire – telle que rappelée ci-dessus – considère que ces infractions protègent des biens juridiquement distincts : l’usurpation d’identité vise principalement la protection de l’honneur et de la personnalité de la victime, tandis que l’escroquerie poursuit la protection du patrimoine. Dès lors, il apparaît que ces deux infractions peuvent entrer en concours, l’appelante pouvant donc être condamnée pour chacune d’elle. Mal fondé, le moyen sera rejeté.</w:t>
      </w:r>
    </w:p>
    <w:p>
      <w:r>
        <w:rPr>
          <w:b/>
        </w:rPr>
        <w:t>E. 4.1</w:t>
      </w:r>
    </w:p>
    <w:p>
      <w:r>
        <w:t>L’appelante ne conteste pas le genre ni la quotité de la peine qui lui a été infligée en première instance, mais requiert que cette peine 13J010</w:t>
      </w:r>
    </w:p>
    <w:p>
      <w:r>
        <w:t>- 14 - soit assortie d’un sursis complet. Elle fait valoir que les conséquences d’une condamnation ferme sont considérables et affecteraient lourdement sa situation personnelle alors qu’elle se battrait pour « prendre pied » dans la vie professionnelle et que la perspective concrète d’une peine de prison ferme aurait fortement agi sur sa perception de la gravité des actes commis, soit sur sa prise de conscience. Elle explique que ses comportements, certes répréhensibles, ne traduiraient pas une criminalité enracinée mais procéderaient davantage d’une forme d’abandon à la tentation de solutions de facilité dans une situation plus générale de précarité et d’instabilité personnelle. Elle rappelle qu’elle a été marquée par des difficultés professionnelles, qu’elle n’a pas pu mener à terme son apprentissage et que la crise sanitaire liée au COVID 19 est intervenue peu de temps après. Ces obstacles successifs auraient fragilisé sa situation et auraient contribué à son instabilité. Elle explique avoir aujourd’hui une volonté réelle de stabiliser son parcours. Elle conclut enfin à ce que le sursis qui lui a été accordé le 22 mai 2022 ne soit pas révoqué. En audience, elle a indiqué avoir remboursé 300 fr. à D.________.</w:t>
      </w:r>
    </w:p>
    <w:p>
      <w:r>
        <w:rPr>
          <w:b/>
        </w:rPr>
        <w:t>E. 4.2.1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13J010</w:t>
      </w:r>
    </w:p>
    <w:p>
      <w:r>
        <w:t>- 15 -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4.2.2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6B_796/2024 précité consid. 1.1). L'exigence, pour appliquer l'art. 49 al. 1 CP, que les peines soient de même genre, implique que le juge examine, pour chaque infraction commise, la nature de la peine à prononcer pour chacune d'elles (ATF 147 IV 241 consid. 3.2 ; ATF 144 IV 313 précité consid. 1.1.1 ; TF 6B_1329/2023 du 19 février 2024 consid. 1.4).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précité consid. 1.1.1 ; ATF 144 IV 217, JdT 2018 IV 335 ; TF 6B_796/2024 précité consid. 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13J010</w:t>
      </w:r>
    </w:p>
    <w:p>
      <w:r>
        <w:t>- 16 - toutes les circonstances y relatives (ATF 144 IV 313 précité consid. 1.1.2 ; TF 6B_1329/2023 précité consid. 1.4 ; TF 6B_1268/2023 du 21 décembre 2023 consid. 2.1).</w:t>
      </w:r>
    </w:p>
    <w:p>
      <w:r>
        <w:rPr>
          <w:b/>
        </w:rPr>
        <w:t>E. 4.2.3</w:t>
      </w:r>
    </w:p>
    <w:p>
      <w:r>
        <w:t>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170 consid. 2.1 ; ATF 143 IV 1 consid. 4.2.2). Le défaut de prise de conscience de la faute peut justifier un pronostic défavorable, car seul celui qui se repent de son acte mérite la confiance que l'on doit pouvoir accorder au condamné bénéficiant du sursis (TF 6B_252/2024 du 2 décembre 2024 consid. 3.1 et les arrêts cités). Sont également à prendre en considération les circonstances personnelles jusqu'au moment du jugement, notamment les développements positifs qui ont pu avoir lieu depuis la commission de l'acte (nouvel emploi, nouvelle relation sentimentale stable, etc. ; ATF 134 IV 140 consid. 5 ; ATF 128 IV 193 consid. 3).</w:t>
      </w:r>
    </w:p>
    <w:p>
      <w:r>
        <w:rPr>
          <w:b/>
        </w:rPr>
        <w:t>E. 4.2.4</w:t>
      </w:r>
    </w:p>
    <w:p>
      <w:r>
        <w:t>Selon l'art. 46 CP, si, durant le délai d’épreuve, le condamné commet un crime ou un délit et qu’il y a dès lors lieu de prévoir qu’il commettra de nouvelles infractions, le juge révoque le sursis ou le sursis partiel. Si la peine révoquée et la nouvelle peine sont du même genre, il fixe 13J010</w:t>
      </w:r>
    </w:p>
    <w:p>
      <w:r>
        <w:t>- 17 - une peine d’ensemble en appliquant par analogie l’art. 49 CP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Le juge appelé à connaître du nouveau crime ou du nouveau délit est également compétent pour statuer sur la révocation (al. 3).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particulier,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13J010</w:t>
      </w:r>
    </w:p>
    <w:p>
      <w:r>
        <w:t>- 18 -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(TF 6B_887/2017 du 8 mars 2018 consid. 5.1 ; TF 6B_105/2016 du 11 octobre 2016 consid. 1.1). En matière de sursis, conformément à la jurisprudence, le juge doit se livrer à une appréciation d'ensemble, tenant compte des circonstances de l'infraction, des antécédents de l'auteur, de sa réputation et de sa situation personnelle au moment du jugement, notamment de l'état d'esprit qu'il manifeste (ATF 135 IV 180 consid. 2.1 p. 185 s.; ATF 134 IV 1 consid. 4.2.1 p. 5; TF 6B_1311/2021 du 22 novembre 2022 consid. 3.1; TF 6B_166/2019 du 6 août 2019 consid. 2.6).</w:t>
      </w:r>
    </w:p>
    <w:p>
      <w:r>
        <w:rPr>
          <w:b/>
        </w:rPr>
        <w:t>E. 4.3</w:t>
      </w:r>
    </w:p>
    <w:p>
      <w:r>
        <w:t>La faute de la prévenue est grave. Animée par un mobile lucratif, elle a trompé des commerçants en ligne, réalisant des actes qui, dans leur résultat, s’apparentent à une appropriation de biens sans paiement. Elle a en outre usurpé l’identité de tiers, portant ainsi atteinte à leur personnalité et engendrant pour eux des désagréments importants. La gravité de ces agissements ne saurait être minimisée. B.________ a agi alors qu’elle bénéficiait d’un sursis pour des faits analogues. Elle n’a ainsi pas tiré les conséquences de sa précédente condamnation, ce qui témoigne d’un mépris persistant pour l’ordre juridique. Les aveux, intervenus tardivement, ainsi que les perspectives professionnelles alléguées, qui n’ont guère de consistance, ne permettent pas de relativiser cette appréciation. Au vu de ces éléments et pour des motifs de prévention spéciale, c’est donc une peine privative de liberté qui doit sanctionner le comportement de l’appelante. 13J010</w:t>
      </w:r>
    </w:p>
    <w:p>
      <w:r>
        <w:t>- 19 - Cette peine sera ferme, seul un pronostic entièrement défavorable pouvant être posé, étant au demeurant rappelé que l’appelante ne travaille pas et se trouve dans la même situation précaire que celle qui prévalait au moment de la commission de ses actes. Dans la mesure où ces faits ont été commis durant le délai d’épreuve de 5 ans accordé par jugement du 24 mai 2022 du Tribunal de police de l’arrondissement de la Broye et du Nord vaudois, ce sursis doit être révoqué, seul un pronostic défavorable pouvant être envisagé, l’appelante, comme on l’a vu, n’ayant présenté à la Cour aucun projet concret susceptible de la tenir à l’abri de la récidive. Procédant à sa propre appréciation, la Cour considère qu’une peine privative de liberté de deux mois doit sanctionner le crime d’escroquerie, qui sert d’infraction de base. A ceci s’ajoute une peine privative de liberté d’un mois pour l’infraction commise à l’art. 179decies CP. Cette peine, de même genre que la précédente dont le sursis a été révoqué, commande la fixation d’une peine d’ensemble qui sera arrêtée à huit mois. A cet égard, le chiffre II/III du dispositif ci-dessous contient une erreur de plume en tant qu’il ne précise pas qu’il s’agit d’une peine d’ensemble. En application de l’art. 83 CPP, le dispositif sera dès lors rectifié d’office sur ce point. S’agissant d’une peine inférieure à douze mois, B.________ pourra la purger sous le régime de la semi-détention – pour autant qu’elle en remplisse les conditions (cf. art. 77b CP) –, ce qui lui permettra, cas échéant, de mener à bien les projets professionnels évoqués à l’audience d’appel. L’amende de 500 fr., qui sanctionne l’escroquerie d’importance mineure, ainsi que la peine privative de liberté de substitution fixée à cinq jours, ne sont pas contestées. Elles sont adéquates et doivent être confirmées.</w:t>
      </w:r>
    </w:p>
    <w:p>
      <w:r>
        <w:rPr>
          <w:b/>
        </w:rPr>
        <w:t>E. 5</w:t>
      </w:r>
    </w:p>
    <w:p>
      <w:r>
        <w:t>Au vu de ce qui précède, l’appel de B.________ doit être rejeté et le jugement entrepris intégralement confirmé. 13J010</w:t>
      </w:r>
    </w:p>
    <w:p>
      <w:r>
        <w:t>- 20 - Me Noémie Bachmann, avocate-stagiaire en l’étude de Me Germain Quach, a produit en audience une liste d’opérations dont il n’y a pas lieu de s’écarter si ce n’est pour ajouter le temps consacré à l’audience d’appel. C’est ainsi une indemnité de 2'095 fr. 05 qui sera allouée à Me Germain Quach pour la procédure d’appel, correspondant à 7h10 d’avocat au tarif horaire de 180 fr., 4h50 d’avocat-stagiaire au tarif horaire de 110 fr., à 36 fr. 45 fr. de débours au taux forfaitaire de 2% (cf. art. 3bis al. 1 RAJ [règlement sur l’assistance judiciaire en matière civile du 7 décembre 2010; BLV 211.02.3], applicable par renvoi de l’art. 26b TFIP [tarif des frais de procédure et indemnités en matière pénale du 28 septembre 2010 ; BLV 312.03.1]). –, à 80 fr. de vacation et à 157 fr. de TVA. Vu l’issue de la cause, les frais de la procédure d’appel, par 4'035 fr. 05, constitués des émoluments de jugement et d’audience, par 1’940 fr. (art. 21 al. 1 et 2 TFIP [tarif des frais de procédure et indemnités en matière pénale du 28 septembre 2010 ; BLV 312.03.1]), ainsi que de l’indemnité précitée, sont mis à la charge de B.________, qui succombe (art. 428 al. 1 CPP). B.________ sera tenue de rembourser à l’Etat l’indemnité allouée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