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PE24.020587 vom 12. November 2024</w:t>
      </w:r>
    </w:p>
    <w:p>
      <w:r>
        <w:t>VD Tribunal cantonal, 2024-11-12, FR</w:t>
      </w:r>
    </w:p>
    <w:p>
      <w:r>
        <w:rPr>
          <w:b/>
        </w:rPr>
        <w:t xml:space="preserve">Quelle: </w:t>
      </w:r>
      <w:r>
        <w:t>https://mcp.opencaselaw.ch/entscheid/vd_gerichte_PE24.020587</w:t>
      </w:r>
    </w:p>
    <w:p>
      <w:r>
        <w:t>FR: VD_GERICHTE PE24.020587 du 12 novembre 2024</w:t>
      </w:r>
    </w:p>
    <w:p>
      <w:r>
        <w:t>IT: VD_GERICHTE PE24.020587 del 12 novembre 2024</w:t>
      </w:r>
    </w:p>
    <w:p>
      <w:pPr>
        <w:pStyle w:val="Heading2"/>
      </w:pPr>
      <w:r>
        <w:t>Erwägungen</w:t>
      </w:r>
    </w:p>
    <w:p>
      <w:r>
        <w:rPr>
          <w:b/>
        </w:rPr>
        <w:t>E. 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Code de procédure pénale, 2e éd., Bâle, 2016, n. 24 ad art. 263 CPP ; Lembo/Nerushay, in : Jeanneret et al. [éd.], Commentaire romand, Code de procédure pénale suisse [ci-après CR CPP], 2e éd., Bâle, 2019, n. 4 ad art. 267 CPP). Le recours s’exerce par écrit, dans les dix jours, devant l’autorité de recours (art. 396 al. 1 CPP ; cf. art. 20 al. 1 let. b CPP), qui est,</w:t>
      </w:r>
    </w:p>
    <w:p>
      <w:r>
        <w:t>- 6 -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et dans les formes prescrites (art. 385 al. 1 CPP), par une partie qui a un intérêt juridique à l’annulation de l’ordonnance entreprise (art. 382 al. 1 CPP), le recours est recevable.</w:t>
      </w:r>
    </w:p>
    <w:p>
      <w:r>
        <w:rPr>
          <w:b/>
        </w:rPr>
        <w:t>E. 2.1</w:t>
      </w:r>
    </w:p>
    <w:p>
      <w:r>
        <w:t>Le recourant, qui soutient ne pas être un trafiquant de drogue, expose en substance que l’argent séquestré provient de son activité au sein du kiosque, de ses économies, du compte d’épargne de ses parents ou encore de divers gains qu’il aurait accumulés (loterie, ventes d’habits, etc.). Il indique que cet argent doit lui permettre de « [s]’en sortir au maximum », de se « mettre dans le droit chemin », d’exploiter son commerce, de s’acquitter de ses poursuites et de rembourser sa mère (avance de 90'000 fr.) ; celle-ci pourrait être impactée par la saisie de l’argent en question, étant officiellement titulaire du kiosque. Dans ses déterminations, le Ministère public a relevé que, C.________ étant fortement endetté et au bénéfice de l'aide sociale, il y avait une possibilité non négligeable que l’argent séquestré provienne de ses ventes de produits stupéfiants, vu les soupçons de trafic pesant contre lui. Dans une telle hypothèse, il y aurait de fortes chances qu'une autorité de jugement prononce la confiscation de ces montants, en application de l'article 70 CP (Code pénal suisse du 21 décembre 19374 ; RS 311.0). Dans l'hypothèse où l’argent proviendrait d'une activité légale, il conviendrait toutefois de s’intéresser à la commission d’éventuelles autres infractions par le prévenu, en lien avec l'octroi de l'aide sociale ou avec les poursuites. Il apparaîtrait en effet improbable qu’il ait déclaré cette fortune ou les revenus l'ayant générée aux services sociaux ou à l'office des poursuites. Dans cette hypothèse, les montants saisis pourraient devoir être restitués aux lésés, en application de l'article 263 al. 1 let. c</w:t>
      </w:r>
    </w:p>
    <w:p>
      <w:r>
        <w:t>- 7 - CPP. Dans tous les cas, à défaut de mesures conservatoires, C.________ ferait assurément disparaître l’argent concerné.</w:t>
      </w:r>
    </w:p>
    <w:p>
      <w:r>
        <w:rPr>
          <w:b/>
        </w:rPr>
        <w:t>E. 2.2</w:t>
      </w:r>
    </w:p>
    <w:p>
      <w:r>
        <w:t>et les références citées ; Julen Berthod, in : CR CPP, n. 26 ad art. 263 CPP et les références citées).</w:t>
      </w:r>
    </w:p>
    <w:p>
      <w:r>
        <w:rPr>
          <w:b/>
        </w:rPr>
        <w:t>E. 2.2.1</w:t>
      </w:r>
    </w:p>
    <w:p>
      <w:r>
        <w:t>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(let. e). Le séquestre probatoire au sens de l’art. 263 al. 1 let. a CPP est la mise sous main de justice des objets ou valeurs patrimoniales découverts lors d’une perquisition ou au cours de l’enquête et permettant la manifestation de la vérité ; la protection et la conservation de ces objets est ainsi garantie. Cette mesure de conservation s’impose notamment s’il existe un danger concret de voir les moyens de preuve détruits (ATF 143 IV 270 consid. 7.5 ; TF 1B_492/2017 du 25 avril 2018 consid. 2.2).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Dans un tel cas, le séquestre peut être ordonné sur tous les biens du prévenu, y compris sur ceux qui n’ont aucun rapport avec l’infraction (Julen Berthod, in : CR CPP, n. 14 ad art. 263 CPP). Réglementé plus précisément à l’art. 268 CPP, la loi impose en cas de séquestre en couverture des frais de tenir compte du revenu et de la fortune du prévenu et d’exclure les valeurs insaisissables au sens des art. 92 à 94 de la loi fédérale sur la poursuite pour dettes et la faillite (LP ; RS 281.1) (art. 268 al. 2 et 3 CPP ; ATF 141 IV 360 consid. 3.2 et les références citées).</w:t>
      </w:r>
    </w:p>
    <w:p>
      <w:r>
        <w:t>- 8 - Le séquestre d’objets en vue de les restituer au lésé au sens de l’art. 263 al. 1 let. c CPP consiste à placer sous main de justice des objets ou des valeurs patrimoniales dans le but de les rendre à leur possesseur antérieur lorsque ceux-ci ne sont ni confisqués, ni utilisés pour couvrir des créances et qu’ils ne sont pas attribués à des tiers par un jugement.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(Moreillon/Parein-Reymond, op. cit., n. 17 ad art. 263 CPP et les références citées). Quant au séquestre en vue de la confiscation (cf. art. 263 al. 1 let. d CPP), cette mesure est proportionnée lorsqu’elle porte sur des objets/avoirs dont on peut admettre qu’ils pourront être vraisemblablement confisqués en application du droit pénal (ATF 141 IV 360 précité). Il doit exister un rapport de causalité entre l’infraction et l’objet saisi en vue de la confiscation (ATF 140 IV 57 consid. 4.1.2 ; TF 1B_398/2022 du 13 décembre 2022 consid. 5.3). Tant que l’instruction n’est pas achevée et que subsiste une probabilité de confiscation, la mesure conservatoire doit être maintenue (ATF 141 IV 360 consid. 3.2 ; TF 1B_481/2021 du 4 novembre 2021 consid. 2.2). Le séquestre pénal ne peut donc être levé que dans l’hypothèse où il est d’emblée manifeste et indubitable que les conditions matérielles d’une confiscation ne sont pas réalisées, et ne pourront l’être (ATF 140 IV 133 consid. 4.2.1 ; ATF 139 IV 250 consid. 2.1 ; TF 1B_398/2022 précité consid. 5.3). Jusqu’au 1er janvier 2024, le CPP ne comprenait pas de dispositions sur le séquestre de valeurs patrimoniales en vue de l’exécution d’une créance compensatrice, ce qui était toutefois réglé à l’art. 71 al. 3 CP, lequel n’avait pas été intégré dans le CPP. Pour plus de clarté, cette disposition du CP a été abrogée et son contenu a été introduit à l’art. 263 al. 1 let. e CPP (Message du Conseil fédéral du 28 août 2019 [19.048] concernant la modification du code de procédure pénale (mise en œuvre de la motion 14.3383 de la Commission des affaires juridiques du</w:t>
      </w:r>
    </w:p>
    <w:p>
      <w:r>
        <w:t>- 9 - Conseil des États « Adaptation du code de procédure pénale » ; FF 2019 pp. 6351 ss, spéc. p. 6406).</w:t>
      </w:r>
    </w:p>
    <w:p>
      <w:r>
        <w:rPr>
          <w:b/>
        </w:rPr>
        <w:t>E. 2.2.2</w:t>
      </w:r>
    </w:p>
    <w:p>
      <w:r>
        <w:t>; CREP 3 octobre 2023/776 consid. 2.1.1 ; CREP 20 mars 2023/186 consid. 2.3). Une motivation très brève est suffisante si elle permet à l’intéressé, au vu du contexte général de la cause, de discerner le lien entre les faits qui lui sont reprochés et les objets saisis (CREP 2 juillet 2024/474 précité ; CREP 14 janvier 2019/35 consid. 2.2.2).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w:t>
      </w:r>
    </w:p>
    <w:p>
      <w:r>
        <w:t>- 10 -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TF 6B_182/2022 du 25 janvier 2023 consid. 1.2).</w:t>
      </w:r>
    </w:p>
    <w:p>
      <w:r>
        <w:rPr>
          <w:b/>
        </w:rPr>
        <w:t>E. 2.2.3</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donc l’existence de soupçons suffisants laissant présumer la commission d’une infraction par la ou des personnes visées par la procédure pénale (art. 197 al. 1 CPP précité). Au début de l’enquête, il est admis qu’un soupçon crédible ou un début de preuve de l’existence de l’infraction reprochée suffise à permettre le séquestre, ce qui laisse une grande place à l’appréciation du juge (Julen Berthod, in : CR CPP,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Dans le cadre de l’examen d’un séquestre, l’autorité statue ainsi sous l’angle de la vraisemblance. La mesure doit pouvoir être ordonnée rapidement, ce qui exclut la résolution de questions juridiques complexes (ATF 141 IV 360 précité consid. 3.2). Toutefois, le degré de probabilité exigé variera selon l’avancement de la procédure. Ainsi, il importe que les présomptions se renforcent au cours de l’enquête et que l’existence d’un lien de connexité entre le bien séquestré et les actes délictueux puisse être considérée</w:t>
      </w:r>
    </w:p>
    <w:p>
      <w:r>
        <w:t>- 11 - comme hautement vraisemblable pour que le maintien du séquestre pendant une période prolongée se justifie (TF 1B_481/2021 précité consid.</w:t>
      </w:r>
    </w:p>
    <w:p>
      <w:r>
        <w:rPr>
          <w:b/>
        </w:rPr>
        <w:t>E. 2.3</w:t>
      </w:r>
    </w:p>
    <w:p>
      <w:r>
        <w:t>L’ordonnance attaquée se limite à reprendre le texte de l’art. 263 al. 1 let. a à e CPP, sans indiquer en quoi les conditions légales de l’un ou de l’autre des cas de séquestre seraient réalisées. Or, la seule référence à la norme légale est insuffisante sous l’angle des exigences de motivation de la décision et viole le droit d’être entendu du recourant. Ainsi, l’ordonnance n’est pas suffisamment motivée et ne répond pas aux exigences en la matière. Dans ses déterminations du 1er novembre 2024, le Ministère public a toutefois expliqué en quoi, selon lui, le séquestre de l’argent se justifiait et quelles hypothèses de l’art. 263 CPP étaient réalisées. Il a donc fourni une motivation durant la procédure de recours, laquelle permet de comprendre les motifs de sa décision. La Chambre de céans disposant d’un plein pouvoir d’appréciation en fait et en droit, le vice peut ainsi être réparé dans le cadre de la présente procédure de recours. En l’espèce, les déclarations de C.________ relatives à la provenance de l’argent séquestré apparaissent sujettes à caution. L’intéressé indique dégager un faible revenu de son activité de kiosquier, et bénéficier au surplus de prestations de l’aide sociale. Il explique également avoir pour quelque 50'000 fr. de dettes et devoir en outre rembourser à sa mère l’avance de 90'000 fr. qu’elle lui a faite pour l’acquisition du kiosque. Cet établissement engendrerait des charges de l’ordre de 450 fr. par mois et, hormis son loyer et ses primes d’assurance- maladie, il doit manifestement s’acquitter de ses charges personnelles, sans compter sa consommation personnelle de produits cannabiques (550 fr. par mois). Les documents découverts chez lui indiquent d’ailleurs qu’il déclare aux impôts ne pas avoir de source de revenus. Dans ces conditions, on voit mal comment, compte tenu de sa situation financière précaire, C.________ aurait pu épargner près de 150'000 francs ; les explications relatives à la provenance de l’argent (économies</w:t>
      </w:r>
    </w:p>
    <w:p>
      <w:r>
        <w:t>- 12 - personnelles, anniversaires, paris sportifs, etc.) n’apparaissent à cet égard pas crédibles. Au vu des éléments d’enquête disponibles à ce stade, il existe des soupçons suffisants laissant présumer la commission d’une infraction par le prévenu, et il apparaît vraisemblable, dans ce cadre, que les sommes d’argent saisies proviennent d’une activité illégale de trafic de produits stupéfiants. Partant, elles pourraient devoir être confisquées (art. 263 al. 1 let. d CPP). En outre, comme exposé par le Ministère public, si l’argent concerné provient d’une activité licite, des prestations d’aide sociale pourraient avoir été perçues indûment par C.________, si bien que tout ou partie de celles-ci pourraient devoir être remboursées au lésé (art. 263 al. 1 let. c CPP). Enfin, dans tous les cas, des opérations d’enquête doivent être entreprises pour vérifier l’origine des fonds en question. Partant, c'est en l’état à juste titre que les différentes sommes d’argent saisies en possession de C.________ ont été séquestrées.</w:t>
      </w:r>
    </w:p>
    <w:p>
      <w:r>
        <w:rPr>
          <w:b/>
        </w:rPr>
        <w:t>E. 3</w:t>
      </w:r>
    </w:p>
    <w:p>
      <w:r>
        <w:t>En définitive, le recours, manifestement mal fondé, doit être rejeté et l’ordonnance du 4 octobre 2024 confirmée. Vu le sort du recours, les frais de la présente procédure, soit l’émolument d’arrêt, par 1’210 fr. (art. 20 al. 1 TFIP [tarif des frais de procédure et indemnités en matière pénale du 28 septembre 2010 ; BLV 312.03.1]), seront mis à la charge du recourant, qui succombe (art. 428 al. 1 CPP).</w:t>
      </w:r>
    </w:p>
    <w:p>
      <w:r>
        <w:t>- 13 - Par ces motifs, la Chambre des recours pénale prononce : I. Le recours est rejeté. II. L’ordonnance du 4 octobre 2024 est confirmée. III. Les frais d’arrêt, par 1’210 fr. (mille deux cent dix francs) sont mis à la charge de C.________. IV. L’arrêt est exécutoire. Le président : Le greffier : Du Le présent arrêt, dont la rédaction a été approuvée à huis clos, est notifié, par l'envoi d'une copie complète, à : - C.________, - Me Johanna Trümpy, avocate (pour C.________), - Ministère public central, et communiqué à : - M. le Procureur cantonal STRADA,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