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PE24.020341 vom 25. Februar 2025</w:t>
      </w:r>
    </w:p>
    <w:p>
      <w:r>
        <w:t>VD Tribunal cantonal, 2025-02-25, FR</w:t>
      </w:r>
    </w:p>
    <w:p>
      <w:r>
        <w:rPr>
          <w:b/>
        </w:rPr>
        <w:t xml:space="preserve">Quelle: </w:t>
      </w:r>
      <w:r>
        <w:t>https://mcp.opencaselaw.ch/entscheid/vd_gerichte_PE24.020341</w:t>
      </w:r>
    </w:p>
    <w:p>
      <w:r>
        <w:t>FR: VD_GERICHTE PE24.020341 du 25 février 2025</w:t>
      </w:r>
    </w:p>
    <w:p>
      <w:r>
        <w:t>IT: VD_GERICHTE PE24.020341 del 25 febbraio 2025</w:t>
      </w:r>
    </w:p>
    <w:p>
      <w:pPr>
        <w:pStyle w:val="Heading2"/>
      </w:pPr>
      <w:r>
        <w:t>Erwägungen</w:t>
      </w:r>
    </w:p>
    <w:p>
      <w:r>
        <w:rPr>
          <w:b/>
        </w:rPr>
        <w:t>E. 1</w:t>
      </w:r>
    </w:p>
    <w:p>
      <w:r>
        <w:t>Interjeté dans le délai légal auprès de l’autorité de recours (art. 396 al. 1 CPP [Code de procédure pénale suisse du 5 octobre 2007 ; RS 312.0]), qui est, dans le Canton de Vaud, la Chambre des recours pénale du Tribunal cantonal (art. 13 LVCPP [loi vaudoise d’introduction du Code de procédure pénale suisse du 19 mai 2009 ; BLV 312.01] ; art. 80 LOJV [loi vaudoise d’organisation judiciaire du 12 décembre 1979 ; BLV</w:t>
      </w:r>
    </w:p>
    <w:p>
      <w:r>
        <w:t>- 8 - 173.01]), contre une décision du Tribunal des mesures de contrainte dans un cas prévu par le CPP (art. 393 al. 1 let. c CPP), par le prévenu détenu qui a qualité pour recourir (art. 222 et 382 al. 1 CPP) et dans les formes prescrites (art. 385 al. 1 CPP), le recours est recevable.</w:t>
      </w:r>
    </w:p>
    <w:p>
      <w:r>
        <w:rPr>
          <w:b/>
        </w:rPr>
        <w:t>E. 2</w:t>
      </w:r>
    </w:p>
    <w:p>
      <w:r>
        <w:t>C.________ conteste l’existence d’un risque de collusion (violation de l’art. 221 al. 1 let. b CPP). Il allègue que son épouse – qui a obtenu des mesures superprovisionnelles – a été entendue à quatre reprises par les autorités pénales et une fois par le juge civil, sans qu’elle n'ait jamais changé sa version des faits, quand bien même elle avait cohabité avec lui entre chaque épisode de violence. Quant au témoignage de M.________, il revêtirait un caractère indirect, puisque le concerné n’aurait fait que relayer les éléments que L.________ lui aurait rapportés. Enfin, les courriers adressés à ce dernier, certes inadéquats, auraient constitué une sorte d’appel à l’aide, dès lors qu’il était « complétement choqué » par sa détention. Le recourant conteste cependant toute volonté d’influencer l’un ou l’autre des protagonistes de la procédure. C.________ invoque également une violation du principe de proportionnalité (art. 36 Cst et 237 CPP). Il soutient que les faits qui lui sont reprochés ont été initiés par sa consommation d'alcool et que sa volonté d’entreprendre un suivi en addictologie et de se soumettre à des contrôles d’abstinence à l’alcool s’inscrit dans la ligne directe du suivi exigé par le Ministère public le 24 octobre 2024. Cette volonté avait cependant été entravée par un manque de place disponible d’abord, puis par son incarcération. Le recourant expose ainsi que la Fondation « Les Oliviers » serait prête à démarrer un processus d'admission dès la validation par l’autorité compétente de la mise en œuvre d’un suivi. Il soutient enfin qu’il a d'ores et déjà démontré qu'il était en mesure de respecter les obligations qui lui étaient imposées, que ce soit en ce qui concerne son expulsion du domicile conjugal ou sa volonté de débuter une prise en charge de son addiction. Cela étant, vu les mesures d'éloignement et l'interdiction de prise de contact ordonnées par le juge civil, sa volonté de traiter son addiction à l'alcool et de se soumettre à des tests d'abstinence, ainsi que l'absence de risque de collusion, la mesure</w:t>
      </w:r>
    </w:p>
    <w:p>
      <w:r>
        <w:t>- 9 - de substitution sous la forme d'un suivi à la Fondation « Les Oliviers » serait apte à empêcher la concrétisation du risque de récidive.</w:t>
      </w:r>
    </w:p>
    <w:p>
      <w:r>
        <w:rPr>
          <w:b/>
        </w:rPr>
        <w:t>E. 3.1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w:t>
      </w:r>
    </w:p>
    <w:p>
      <w:r>
        <w:rPr>
          <w:b/>
        </w:rPr>
        <w:t>E. 3.2</w:t>
      </w:r>
    </w:p>
    <w:p>
      <w:r>
        <w:t>Une mesure de détention provisoire ou pour des motifs de sûreté n'est compatible avec la liberté personnelle (art. 10 al. 2 Cst. et 5 CEDH) que si elle repose sur une base légale (art. 31 al. 1 et 36 al. 1 Cst.), soit en l'espèce l'art. 221 CPP. Selon cette disposition, pour qu’une personne soit placée et maintenue en détention provisoire, il doit exister à son égard des charges suffisantes ou des indices sérieux de culpabilité, c'est-à-dire des raisons plausibles de la soupçonner d'avoir commis une infraction (ATF 143 IV 168 consid. 2). Il n'appartient cependant pas au juge</w:t>
      </w:r>
    </w:p>
    <w:p>
      <w:r>
        <w:t>- 10 - de la détention de procéder à une pesée complète des éléments à charge et à décharge et d'apprécier la crédibilité des personnes qui mettent en cause le prévenu. Il doit uniquement examiner s'il existe des indices sérieux de culpabilité justifiant une telle mesure (TF 7B_715/2023 du 13 novembre 2023 consid. 5.1.1 et les références citées ; TF 7B_850/2023 du 24 novembre 2023 consid. 3.2 et les références citées). La présomption d’innocence s’impose au juge de fond, mais ne s’applique pas en tant que telle au stade de la détention (TF 1B_283/2011 du 27 juin 2011 consid. 3.1).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w:t>
      </w:r>
    </w:p>
    <w:p>
      <w:r>
        <w:rPr>
          <w:b/>
        </w:rPr>
        <w:t>E. 3.3</w:t>
      </w:r>
    </w:p>
    <w:p>
      <w:r>
        <w:t>Les faits reprochés au recourant sont graves, puisqu’ils portent sur des faits de violences (coupure à la lèvre, dermabrasion et ecchymose à l’avant-bras droit, plaie sous l’œil droit, dermabrasions au niveau de la main gauche et bosse au niveau du front – photographiées, respectivement médicalement constatées) et de viol à l’encontre de la plaignante. C.________ ne conteste pas dans son acte de recours – à juste titre – l’existence de charges suffisantes ou d’indices sérieux de culpabilité.</w:t>
      </w:r>
    </w:p>
    <w:p>
      <w:r>
        <w:rPr>
          <w:b/>
        </w:rPr>
        <w:t>E. 4.1</w:t>
      </w:r>
    </w:p>
    <w:p>
      <w:r>
        <w:t>; TF 1B_185/2020 du 29 avril 2020 consid. 4.1).</w:t>
      </w:r>
    </w:p>
    <w:p>
      <w:r>
        <w:rPr>
          <w:b/>
        </w:rPr>
        <w:t>E. 4.2</w:t>
      </w:r>
    </w:p>
    <w:p>
      <w:r>
        <w:t>En l’espèce, le risque de collusion reste concret. En effet, en ayant conscience de la peine à laquelle il s’expose, et même si L.________ a déjà été entendue à plusieurs reprises par les autorités pénales et civiles, il y a toujours lieu de craindre que le recourant, qui conteste les accusations portées contre lui, cherche à faire pression sur son épouse et/ou M.________ pour influencer leurs déclarations et, ainsi, minimiser les conséquences que la présente procédure pourrait avoir sur lui. Les courriers des 12 et 14 décembre 2024 du prévenu à son ex-beau-frère sont clairs quant à sa volonté et aux tentatives de pressions qu’il cherche à exercer sur les intéressés. Le fait qu’il admette que ces correspondances étaient inadéquates n’en change d’ailleurs ni le contenu, ni l’objectif. On constate en outre que ces courriers ont été rédigés par le recourant depuis son lieu de détention. Ainsi, s’il a agi de la sorte malgré son incarcération,</w:t>
      </w:r>
    </w:p>
    <w:p>
      <w:r>
        <w:t>- 12 - le risque qu’il entrave la recherche de la vérité une fois libéré est d’autant plus grand. D’ailleurs, ce n’est pas parce que L.________ a maintenu ses accusations jusqu’à présent qu’elle le fera jusque devant le tribunal, d’autant plus si elle est confrontée à C.________. Ainsi, en cas de libération, il existe toujours un risque évident que le recourant porte préjudice au bon déroulement de la procédure.</w:t>
      </w:r>
    </w:p>
    <w:p>
      <w:r>
        <w:rPr>
          <w:b/>
        </w:rPr>
        <w:t>E. 5</w:t>
      </w:r>
    </w:p>
    <w:p>
      <w:r>
        <w:t>Les conditions de l’art. 221 CPP étant alternatives (TF 1B_134/2023 du 5 avril 2023 consid. 4.4 ; TF 1B_192/2022 du 12 mai 2022 consid. 4.1.2), l’existence du risque de collusion dispense la Chambre de céans d’examiner si la détention provisoire s’impose aussi sous l’angle du risque de récidive qualifié que présenterait C.________, étant précisé que le recourant ne conteste pas dans son acte l’existence de ce risque (retenu par le Tribunal des mesures de contrainte dans l’ordonnance dont est recours).</w:t>
      </w:r>
    </w:p>
    <w:p>
      <w:r>
        <w:rPr>
          <w:b/>
        </w:rPr>
        <w:t>E. 6.1</w:t>
      </w:r>
    </w:p>
    <w:p>
      <w:r>
        <w:t>Conformément au principe de la proportionnalité (art. 36 al. 3 Cst.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w:t>
      </w:r>
    </w:p>
    <w:p>
      <w:r>
        <w:t>- 13 - également, le cas échéant, assortir les mesures de substitution de toute condition propre à en garantir l'efficacité (ATF 145 IV 503 consid. 3.1 et les références citées). Le choix d'une mesure au sens des art. 59 ss CP relève en principe du juge du fond ; il s’ensuit que, selon une jurisprudence constante, une mesure de substitution ayant les caractéristiques d'une mesure au sens de ces dispositions ne peut pas être ordonnée par le juge de la détention sans que toutes les conditions en soient a priori assurées (TF 7B_810/2024 du 23 août 2024 consid. 4.2.1 et les références citées). Pour ordonner un traitement ambulatoire, le juge doit se fonder sur une expertise (cf. art. 56 al. 3 CP ; ATF 129 IV 161 consid. 4 ; ATF 116 IV 101 consid. 1)</w:t>
      </w:r>
    </w:p>
    <w:p>
      <w:r>
        <w:rPr>
          <w:b/>
        </w:rPr>
        <w:t>E. 6.2</w:t>
      </w:r>
    </w:p>
    <w:p>
      <w:r>
        <w:t>Dans le cas d’espèce, la mesure de substitution proposée, à forme d’un suivi en addictologie auprès de la Fondation « Les Oliviers » – qui, à ce stade, n’a semble-t-il pas même encore démarré un processus d'admission du prévenu – avec contrôles mensuels (prises de sang et/ou d'urine) de l’abstinence à l'alcool, n’est à l’évidence pas propre à parer au risque de collusion susmentionné. En effet, il n’empêcherait aucunement le recourant d’exercer des pressions sur L.________ et/ou M.________. On notera au demeurant que les mesures d’éloignement civiles ne sauraient non plus prévenir le risque que C.________ cherche à entraver la recherche de la vérité ; une éventuelle violation de ces mesures ne pourrait être constatée qu’a posteriori. En réalité, les mesures de substitution proposées par le recourant tendent seulement à parer au risque de récidive qu’il présente ; or, à ce stade, il n’apparaît pas que toutes les conditions d’un traitement ambulatoire soient remplies. Force est dès lors de déduire de ce qui précède qu’aucune mesure de substitution n’est susceptible de pallier le risque de collusion présenté par C.________.</w:t>
      </w:r>
    </w:p>
    <w:p>
      <w:r>
        <w:rPr>
          <w:b/>
        </w:rPr>
        <w:t>E. 7.1</w:t>
      </w:r>
    </w:p>
    <w:p>
      <w:r>
        <w:t>Pour le reste, l’art. 212 al. 3 CPP prévoit que la détention provisoire et la détention pour des motifs de sûreté ne doivent pas durer plus longtemps que la peine privative de liberté prévisible. La</w:t>
      </w:r>
    </w:p>
    <w:p>
      <w:r>
        <w:t>- 14 - proportionnalité de la détention provisoire doit être examinée au regard de l’ensemble des circonstances concrètes du cas d’espèce (ATF 139 IV 270 consid. 3.1 ; ATF 133 I 168 consid. 4.1 et les références citées).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l'éventuel octroi, par l'autorité de jugement, d'un sursis, d'un sursis partiel ou d'une libération conditionnelle (ATF 145 IV 179 précité ; ATF 143 IV 168 précité ; TF 1B_233/2023 du 5 juin 2023 consid.</w:t>
      </w:r>
    </w:p>
    <w:p>
      <w:r>
        <w:rPr>
          <w:b/>
        </w:rPr>
        <w:t>E. 7.2</w:t>
      </w:r>
    </w:p>
    <w:p>
      <w:r>
        <w:t>Ici, la durée de la détention déjà subie, respectivement à subir jusqu’au 8 mars 2025, demeure conforme au principe de la proportionnalité, au regard de la peine susceptible d’être prononcée en cas de condamnation, compte tenu des faits reprochés au recourant et du chef de prévention de viol, notamment, retenu à son encontre.</w:t>
      </w:r>
    </w:p>
    <w:p>
      <w:r>
        <w:rPr>
          <w:b/>
        </w:rPr>
        <w:t>E. 8</w:t>
      </w:r>
    </w:p>
    <w:p>
      <w:r>
        <w:t>Il résulte de ce qui précède que le recours, manifestement mal fondé, doit être rejeté sans échange d'écritures (art. 390 al. 2 CPP) et l’ordonnance attaquée confirmée. Les frais de la procédure de recours sont fixés à 1’540 fr. (art. 20 al. 1 TFIP [tarif des frais de procédure et indemnités en matière pénale du 28 septembre 2010 ; BLV 312.03.1]). Au vu du travail accompli par Me Sandy Gallay, défenseur d’office du recourant, et sur la base de la liste des opérations produite, il sera retenu 4 heures et 10 minutes d’activité nécessaire d’avocate. Au tarif horaire de 180 fr. (art. 2 al. 1 let. a et 3 al. 2 RAJ [règlement sur</w:t>
      </w:r>
    </w:p>
    <w:p>
      <w:r>
        <w:t>- 15 - l'assistance judiciaire en matière civile du 7 décembre 2010 ; BLV 211.02.3] par renvoi de l'art. 26b TFIP), le défraiement s’élève à 750 francs. S'y ajoutent 2% pour les débours (art. 3bis al. 1 RAJ par renvoi de l'art. 26b TFIP), soit 15 fr., et 8,1% de TVA sur le tout, soit 61 fr. 95, de sorte que l'indemnité d'office est arrêtée au total à 827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6 février 2025 est confirmée. III. L'indemnité allouée à Me Sandy Gallay, défenseur d'office de C.________, est fixée à 827 fr. (huit cent vingt-sept francs). IV. Les frais d'arrêt, par 1’540 fr. (mille cinq cent quarante francs), ainsi que l'indemnité allouée à Me Sandy Gallay, par 827 fr. (huit cent vingt-sept francs), sont mis à la charge de C.________. V. Le remboursement à l'Etat de l'indemnité allouée sous chiffre III ci-dessus ne sera exigible de C.________ que pour autant que sa situation financière le permette. VI. L’arrêt est exécutoire. Le président : Le greffier :</w:t>
      </w:r>
    </w:p>
    <w:p>
      <w:r>
        <w:t>- 16 - Du Le présent arrêt, dont la rédaction a été approuvée à huis clos, est notifié, par l'envoi d'une copie complète, à : - Me Sandy Gallay, avocate (pour C.________),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