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PE24.019853 vom 18. Juni 2025</w:t>
      </w:r>
    </w:p>
    <w:p>
      <w:r>
        <w:t>VD Tribunal cantonal, 2025-06-18, FR</w:t>
      </w:r>
    </w:p>
    <w:p>
      <w:r>
        <w:rPr>
          <w:b/>
        </w:rPr>
        <w:t xml:space="preserve">Quelle: </w:t>
      </w:r>
      <w:r>
        <w:t>https://mcp.opencaselaw.ch/entscheid/vd_gerichte_PE24.019853</w:t>
      </w:r>
    </w:p>
    <w:p>
      <w:r>
        <w:t>FR: VD_GERICHTE PE24.019853 du 18 juin 2025</w:t>
      </w:r>
    </w:p>
    <w:p>
      <w:r>
        <w:t>IT: VD_GERICHTE PE24.019853 del 18 giugno 2025</w:t>
      </w:r>
    </w:p>
    <w:p>
      <w:pPr>
        <w:pStyle w:val="Heading2"/>
      </w:pPr>
      <w:r>
        <w:t>Erwägungen</w:t>
      </w:r>
    </w:p>
    <w:p>
      <w:r>
        <w:rPr>
          <w:b/>
        </w:rPr>
        <w:t>E. 1</w:t>
      </w:r>
    </w:p>
    <w:p>
      <w:r>
        <w:t>CPP), et satisfaisant aux conditions de forme prescrites (art. 385 al. 1 CPP), le recours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devant l’autorité compétente par la partie plaignante qui a qualité pour recourir (art. 382 al.</w:t>
      </w:r>
    </w:p>
    <w:p>
      <w:r>
        <w:rPr>
          <w:b/>
        </w:rPr>
        <w:t>E. 2</w:t>
      </w:r>
    </w:p>
    <w:p>
      <w:r>
        <w:t>- 8 -</w:t>
      </w:r>
    </w:p>
    <w:p>
      <w:r>
        <w:rPr>
          <w:b/>
        </w:rPr>
        <w:t>E. 2.1</w:t>
      </w:r>
    </w:p>
    <w:p>
      <w:r>
        <w:t>Dans un premier moyen, le recourant soutient que X.________ aurait, à plusieurs reprises, tenu des propos à son égard portant atteinte à son honneur et qu’il se serait ainsi rendu coupable de diffamation au sens de l’art. 173 ch. 1 CP. Il relève que si, devant le Tribunal de police, X.________ n’était pas assisté, il l’était dans le cadre des procédures civiles et qu’il aurait adressé des courriers à la Présidente du Tribunal des baux et à la Justice de paix du district de Lavaux-Oron dans le cadre de procédures civiles qui avaient pris fin, et dans le seul but de jeter le discrédit sur le recourant, comme il l’aurait fait auparavant dans le cadre de l’affaire ayant abouti au jugement du Tribunal de police de l’arrondissement de l’Est vaudois du 6 décembre 2024. Ce ne serait ainsi pas dans le cadre d’une défense concrète, actuelle et sérieuse que les propos litigieux auraient été tenus mais uniquement pour salir, de manière gratuite, l’honneur du recourant qui aurait toujours eu gain de cause dans les procédures civiles l’ayant opposé aux intimés. Il souligne enfin que, quoi qu’il en soit, le principe in dubio pro duriore imposait au Ministère public d’instruire la plainte afin de comprendre les mobiles de l’intimé plutôt que de le mettre d’emblée au bénéfice de faits justificatifs.</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w:t>
      </w:r>
    </w:p>
    <w:p>
      <w:r>
        <w:t>- 9 -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2.3.1</w:t>
      </w:r>
    </w:p>
    <w:p>
      <w:r>
        <w:t>Aux termes de l'art. 173 ch. 1 CP, se rend coupable de diffamation quiconque, en s'adressant à un tiers, accuse une personne ou jette sur elle le soupçon de tenir une conduite contraire à l'honneur, ou de tout autre fait propre à porter atteinte à sa considération, de même que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 TF 7B_10/2022 du 25 septembre 2023 consid. 4.3.1).</w:t>
      </w:r>
    </w:p>
    <w:p>
      <w:r>
        <w:t>- 10 - La diffamation suppose une allégation de fait et non un simple jugement de valeur (ATF 137 IV 313 précité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Les mêmes termes n'ont donc pas nécessairement la même portée suivant le contexte dans lequel ils sont employés (ATF 118 IV 248 consid. 2b ; ATF 105 IV 194 précité consid. 2).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6B_450/2024 du 8 août 2024 consid. 1.1.2 ; TF 6B_777/2022 du 16 mars 2023 consid. 3.1, non publié à l’ATF 149 IV 170).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En outre, les propos incriminés dans le cadre de l’art. 173 CP doivent avoir été adressés à un tiers, lequel peut être un avocat, un magistrat ou un fonctionnaire (ATF 145 IV 462 consid. 4.2 et 4.3 ; TF</w:t>
      </w:r>
    </w:p>
    <w:p>
      <w:r>
        <w:t>- 11 - 6B_974/2018 du 20 décembre 2018 consid. 2.3.1 ; Dupuis et al. [édit.], Code pénal, Petit commentaire, 2e éd., Bâle 2017, n. 18 ad art. 173 CP). Du point de vue subjectif, il suffit que l'auteur ait eu conscience du caractère attentatoire à l'honneur de ses propos et qu'il les ait néanmoins proférés ; il n'est pas nécessaire qu'il ait eu la volonté de blesser la personne visée (ATF 137 IV 313 précité consid. 2.1.6 ; TF 6B_450/2024 du 8 août 2024 consid. 1.1.2 et les références citées).</w:t>
      </w:r>
    </w:p>
    <w:p>
      <w:r>
        <w:rPr>
          <w:b/>
        </w:rPr>
        <w:t>E. 2.3.2</w:t>
      </w:r>
    </w:p>
    <w:p>
      <w:r>
        <w:t>L'art. 173 ch. 2 CP prévoit que l'auteur n'encourt aucune peine s'il prouve que les allégations par lui articulées ou propagées sont conformes à la vérité, ou qu'il avait des raisons sérieuses de les tenir de bonne foi pour vraies. Il résulte de l'art. 173 ch. 2 CP que la bonne foi ne suffit pas ; il faut encore que l'auteur ait eu des raisons sérieuses de croire à la véracité de ses allégations (ATF 124 IV 149 consid. 3b ; TF 6B_450/2024 du 8 août 2024 consid. 1.1.3 : TF 7B_10/2022 du 25 septembre 2023 consid. 4.3.2 ; TF 6B_777/2022 2022 du 16 mars 2023 consid. 3.2). La preuve de la bonne foi est apportée lorsque l'auteur démontre qu'il a accompli les actes que l'on pouvait exiger de lui pour contrôler la véracité de ce qu'il alléguait. En particulier,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du 25 septembre 2023 ; TF 6B_1100/2016 du 25 octobre 2017 consid. 1.2 ; TF 6B_1225/2014 du 18 janvier 2016 consid. 1.2 et les références citées). L'auteur n'est pas admis à faire ces preuves et il est punissable si ses allégations ont été articulées ou propagées sans égard à</w:t>
      </w:r>
    </w:p>
    <w:p>
      <w:r>
        <w:t>- 12 - l'intérêt public ou sans autre motif suffisant, principalement dans le dessein de dire du mal d'autrui, notamment lorsqu'elles ont trait à la vie privée ou à la vie de famille (art. 173 ch. 3 CP).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précité consid. 3.1 ; TF 6B_450/2024 du 8 août 2024 consid. 1.1.4 et les références citées ; TF 6B_1461/2021 du 29 août 2022 consid. 2.1.2).</w:t>
      </w:r>
    </w:p>
    <w:p>
      <w:r>
        <w:rPr>
          <w:b/>
        </w:rPr>
        <w:t>E. 2.3.3</w:t>
      </w:r>
    </w:p>
    <w:p>
      <w:r>
        <w:t>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w:t>
      </w:r>
    </w:p>
    <w:p>
      <w:r>
        <w:t>- 13 -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131 IV 154 consid. 1.3.1; 123 IV 97 consid. 2c/aa ; ATF 118 IV 248 consid. 2c et d ; ATF 116 IV 211 consid. 4a ; TF 6B_632/2022 du 6 mars 2023 consid. 2.5.1). Dans l'ATF 118 IV 248, le Tribunal fédéral a retenu que l'accusé qui, dans le cadre d'un procès pénal, conteste des déclarations à charge ne se rend en principe pas coupable d'atteinte à l'honneur de leurs auteurs ; il peut en effet se prévaloir de l'art. 14 CP, dans la mesure toutefois où il se limite à ce qui est nécessaire et pertinent, sans recourir à des formules inutilement blessantes (ATF 118 IV 248 consid. 2b et consid. 2d, TF 6B_632/2022 précité consid. 2.5.1). Le fait justificatif de l’art. 14 CP doit en principe être examiné avant la question des preuves libératoires prévues par l’art. 173 ch. 2 CP (ATF 135 IV 177).</w:t>
      </w:r>
    </w:p>
    <w:p>
      <w:r>
        <w:rPr>
          <w:b/>
        </w:rPr>
        <w:t>E. 2.4</w:t>
      </w:r>
    </w:p>
    <w:p>
      <w:r>
        <w:t>En l’espèce, contrairement à ce que retient le procureur, les termes « faux documents » et « faux témoignages » employés par X.________ ne sont pas seulement discutables mais manifestement attentatoires à l’honneur. En effet, en tenant ces allégations, X.________ en revient à accuser D.________ d’avoir commis des infractions pénales – faux dans les titres, instigation à faux témoignage et escroquerie au procès –, ce qui est de nature diffamatoire. Ensuite, il faut admettre, avec le recourant, que X.________, dans son courrier du 28 novembre 2024 adressé à la Présidente du Tribunal des baux, mentionne la plainte pénale qu’il a déposée contre D.________ et son conseil pour « faux et usage de faux », en faisant référence à une décision qui a d’ores et déjà été rendue, de sorte que la procédure était alors terminée (P. 6/6). Il en va de même du courrier qu’il a adressé le 19 décembre 2024 à la Présidente du Tribunal des baux (P.</w:t>
      </w:r>
    </w:p>
    <w:p>
      <w:r>
        <w:t>- 14 - 6/8), qui, s’il se réfère à la procédure de mesures superprovisionnelles, revient sur un procès terminé lorsqu’il a trait à de prétendus « faux documents » présentés pour la demande de licence du recourant. Les écrits de X.________ ne paraissent dès lors pas s’inscrire comme un moyen de défense dans le cadre d’une procédure pendante. Ainsi, la Chambre de céans ne discerne pas quel fait justificatif X.________ pourrait faire valoir. Cela est d’autant plus vrai qu’il était assisté dans ses procédures et n’avait pas à s’adresser directement aux magistrats en charge de ses affaires. Il ne pouvait pas non plus ignorer qu’il commettait un délit puisqu’il avait déjà été condamné par ordonnance pénale du 27 septembre 2024 pour calomnie pour avoir traité le recourant de mauvais payeur et avoir indiqué qu’il ne payait pas ses loyers. Il a certes fait opposition à cette ordonnance, mais a été condamné par le Tribunal de police le 6 décembre 2024 (P. 6/3) et l’appel qu’il a formé contre ce jugement a été rejeté par la Cour d’appel pénale le 2 juin 2025 (P. 22/1). Enfin, on rappellera que, selon la jurisprudence, pour invoquer l’art. 14 CP, la partie doit s’être exprimée de bonne foi, s’être limitée aux déclarations nécessaires et pertinentes et avoir présenté comme telles de simples suppositions. Tel n’est clairement pas le cas des écrits de X.________ ni même au reste de ses déclarations dans le cadre de son procès pénal. Au vu de ce qui précède, le Ministère public ne pouvait pas d’emblée écarter la réalisation de l’infraction de diffamation et aurait dû ouvrir une instruction pénale, ainsi que procéder à toute mesure d’instruction utile, notamment à l’audition de X.________. Le recours doit donc être admis sur ce point.</w:t>
      </w:r>
    </w:p>
    <w:p>
      <w:r>
        <w:rPr>
          <w:b/>
        </w:rPr>
        <w:t>E. 3.1</w:t>
      </w:r>
    </w:p>
    <w:p>
      <w:r>
        <w:t>Dans un second moyen, le recourant fait valoir que X.________ et H.________ n’auraient pas respecté une injonction de justice qui leur a pourtant été notifiée et qu’ils se sont ainsi rendus coupables de contravention à l’art. 292 CP.</w:t>
      </w:r>
    </w:p>
    <w:p>
      <w:r>
        <w:t>- 15 -</w:t>
      </w:r>
    </w:p>
    <w:p>
      <w:r>
        <w:rPr>
          <w:b/>
        </w:rPr>
        <w:t>E. 3.2</w:t>
      </w:r>
    </w:p>
    <w:p>
      <w:r>
        <w:t>Aux termes de l’art. 292 CP, quiconque ne se sera pas conformé à une décision à lui signifiée, sous la menace de la peine prévue au présent article, par une autorité ou un fonctionnaire compétents, sera puni d’une amende. L'application de l'art. 292 CP suppose notamment que l'auteur ne se soit « pas conformé à une décision à lui signifiée ».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(ATF 147 IV 145 consid. 2.1 ; ATF 131 IV 32 consid. 3). La décision doit par ailleurs avoir été prise par une autorité ou un fonctionnaire compétent, cette compétence s'entendant en raison du lieu, de la matière et de l'attribution. Une condamnation fondée sur la violation d'une décision irrégulière est exclue (ATF 147 IV 145 consid. 2.1; 122 IV 340 consid. 2). Pour entraîner les conséquences pénales de l'art. 292 CP, la décision doit décrire avec suffisamment de précision le comportement ordonné par l'autorité afin que le destinataire sache clairement ce qu'il doit faire ou ce dont il doit s'abstenir, et partant quel comportement ou omission est susceptible d'entraîner une sanction pénale (ATF 147 IV 145 consid. 2.1 ; ATF 127 IV 119 consid. 2a ; ATF 124 IV 297 consid. II.4.d). Le destinataire ne peut pas contester la portée de la décision au motif que toutes les mentions nécessaires ne figurent pas dans un seul et même acte ; il est uniquement requis qu'il ait compris, par une ou plusieurs communications, qu'il encourt une amende s'il n'obtempère pas à l'ordre qui lui a été signifié (ATF 105 IV 248 consid. 2 ; Aude Bichovsky, in Commentaire romand, Code pénal, 2017, n. 14 ad art. 292 CP). L'infraction d'insoumission à un acte de l'autorité est un délit propre pur : seul le destinataire de la décision de l'autorité peut avoir la qualité de l'auteur de l'infraction (Aude Bichovsky, op. cit., n. 3 ; Riedo/Boner, in Basler Kommentar, Strafrecht II, 4e éd. 2019, n. 248).</w:t>
      </w:r>
    </w:p>
    <w:p>
      <w:r>
        <w:t>- 16 - L'insoumission doit être intentionnelle. L'intention suppose la connaissance de l'injonction, de sa validité et des conséquences pénales de l'insoumission. Le dol éventuel suffit (ATF 147 IV 145 consid. 2.1; 119 IV 238 consid. 2a).</w:t>
      </w:r>
    </w:p>
    <w:p>
      <w:r>
        <w:rPr>
          <w:b/>
        </w:rPr>
        <w:t>E. 3.3</w:t>
      </w:r>
    </w:p>
    <w:p>
      <w:r>
        <w:t>En l’espèce, la Présidente du Tribunal des baux a, dans son ordonnance de mesures superprovisionnelles du 9 décembre 2024, ordonné à X.________ et H.________, solidairement entre eux, de remettre en fonction, dans les trois heures à compter de la notification de ladite ordonnance, le chauffage et l’eau chaude dans le « [...]», sous la menace de la peine d’amende prévue par l’art. 292 CP (P. 6/11). Dite ordonnance été notifiée le 10 décembre 2024, à 7h30 au conseil de X.________ et H.________ (P. 6/12). Ceux-ci étant représentés par un avocat, la notification de l’ordonnance en mains de leur conseil peut leur être imputée (art. 87 al. 3 CPP). Certes, Me Hohenauer a indiqué au procureur qu’il n’avait été en mesure de transmettre cette ordonnance à ses clients que le 12 décembre 2024 à 9h58 ; il ne demeure pas moins que les bailleurs ne se sont pas exécutés et qu’une nouvelle ordonnance de mesures superprovisionnelles a dû être rendue le 12 décembre 2024. Le recourant a ensuite mandaté un chauffagiste qui n’est intervenu que le 13 décembre 2024, puis une nouvelle fois le 18 décembre 2024. Or, entre le 12 et le 18 décembre 2024, les bailleurs auraient eu le temps d’intervenir. C’est également le lieu de relever que le domicile de H.________ en Thaïlande n’empêche pas les communications par courriel et que l’état de santé de X.________ n’est prouvé par aucune pièce. Du reste, cet état de santé défaillant ne l’a pas empêché de faire couper le chauffage comme il l’a lui-même admis (P. 6/7), de comparaître à l’audience pénale du 6 décembre 2024 ou encore d’adresser les courriers litigieux dans le cas traité ci-dessus les 2 et 19 décembre 2024 (P. 6/7 et 6/8). Il parait ainsi douteux que les bailleurs aient été empêchés de prendre connaissance de l’ordonnance de mesures superprovisionnelles,</w:t>
      </w:r>
    </w:p>
    <w:p>
      <w:r>
        <w:t>- 17 - ce d’autant que X.________ devait s’attendre à une réaction de la part de D.________ après avoir coupé le chauffage de son restaurant. Enfin, on relèvera que s’il existait un doute sur le fait que X.________ et H.________ aient eu connaissance de l’ordonnance à temps, le principe in dubio pro duriore imposait au procureur au minimum de les interroger sur la date à laquelle ils ont ou non eu connaissance de l’ordonnance avant de prononcer un classement. Au vu de ce qui précède, on ne saurait, à ce stade, exclure d’emblée l’infraction de l’art. 292 CP et une non-entrée en matière ne se justifiait donc pas. Il appartiendra donc également au Ministère public d’ouvrir une instruction pénale et de procéder à toutes les mesures d’instruction propres à établir les faits. Le recours est donc admis sur ce point.</w:t>
      </w:r>
    </w:p>
    <w:p>
      <w:r>
        <w:rPr>
          <w:b/>
        </w:rPr>
        <w:t>E. 4</w:t>
      </w:r>
    </w:p>
    <w:p>
      <w:r>
        <w:t>En définitive, le recours doit être admis, l’ordonnance attaquée annulée et le dossier de la cause renvoyé au Ministère public pour qu’il procède dans le sens des considérants. Vu l’admission du recours, les frais de procédure, constitués en l’espèce du seul émolument d’arrêt, par 1’760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 Le recourant, qui obtient gain de cause et qui a procédé avec l’assistance d’un mandataire professionnel, a droit à une juste indemnité pour les dépenses occasionnées par l’exercice raisonnable de ses droits pour la procédure de recours, à la charge de l’Etat (art. 436 al. 3 CPP). Au vu du travail accompli par Me César Montalto, il sera retenu quatre heures d’activité nécessaire au tarif horaire de 300 fr. (art. 26a al. 3 TFIP), soit 1'200 fr., à laquelle il faut ajouter 2 % pour les débours (art. 19 al. 2 TDC</w:t>
      </w:r>
    </w:p>
    <w:p>
      <w:r>
        <w:t>- 18 - [tarif des dépens en matière civile du 23 novembre 2010 ; BLV 270.11.6] par renvoi de l'art. 26a al. 6 TFIP), soit 24 fr., et 8,1 % de TVA sur le tout, soit 99 fr. 14, ce qui correspond à un total de 1'324 fr. en chiffres arrondis. Cette indemnité sera également laissée à la charge de l’Etat. Par ces motifs, la Chambre des recours pénale prononce : I. Le recours est admis. II. L’ordonnance du 20 mars 2025 est annulée. III. Le dossier de la cause est renvoyé au Ministère public de l’arrondissement de l’Est vaudois pour qu’il procède dans le sens des considérants. IV. Les frais d’arrêt, par 1'760 fr. (mille sept cent soixante francs) sont laissés à la charge de l’Etat. V. L’avance de 770 fr. (sept cent septante francs) versée par D.________ à titre de sûretés lui est restituée. VI. Une indemnité de 1’324 fr. (mille trois cent vingt-quatre francs) est allouée à D.________ pour les dépenses occasionnées par la procédure de recours, à la charge de l’Etat. IV. L’arrêt est exécutoire. Le président : La greffière : Du Le présent arrêt, dont la rédaction a été approuvée à huis clos, est notifié, par l'envoi d'une copie complète, à : - Me César Montalto (pour D.________),</w:t>
      </w:r>
    </w:p>
    <w:p>
      <w:r>
        <w:t>- 19 -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