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PE24.019824 vom 18. März 2025</w:t>
      </w:r>
    </w:p>
    <w:p>
      <w:r>
        <w:t>VD Tribunal cantonal, 2025-03-18, FR</w:t>
      </w:r>
    </w:p>
    <w:p>
      <w:r>
        <w:rPr>
          <w:b/>
        </w:rPr>
        <w:t xml:space="preserve">Quelle: </w:t>
      </w:r>
      <w:r>
        <w:t>https://mcp.opencaselaw.ch/entscheid/vd_gerichte_PE24.019824</w:t>
      </w:r>
    </w:p>
    <w:p>
      <w:r>
        <w:t>FR: VD_GERICHTE PE24.019824 du 18 mars 2025</w:t>
      </w:r>
    </w:p>
    <w:p>
      <w:r>
        <w:t>IT: VD_GERICHTE PE24.019824 del 18 marzo 2025</w:t>
      </w:r>
    </w:p>
    <w:p>
      <w:pPr>
        <w:pStyle w:val="Heading2"/>
      </w:pPr>
      <w:r>
        <w:t>Erwägungen</w:t>
      </w:r>
    </w:p>
    <w:p>
      <w:r>
        <w:rPr>
          <w:b/>
        </w:rPr>
        <w:t>E. 1.1</w:t>
      </w:r>
    </w:p>
    <w:p>
      <w:r>
        <w:t>Selon l’art. 393 al. 1 let. a CPP (Code de procédure pénale suisse du 5 octobre 2007 ; RS 312.0), le recours est recevable contre les décisions et actes de procédure du Ministère public. Une ordonnance du Ministère public refusant de retrancher des pièces du dossier est ainsi en principe susceptible de recours selon les art. 393 ss CPP (ATF 143 IV 475 consid. 2). Ce recours s’exerce par écrit, dans un délai de dix jours dès la notification de la décision attaquée (cf. art. 384 let. b CPP), auprès de l’autorité de recours (art. 396 al. 1 CPP ; cf. art. 20 al. 1 let. b CPP) qui est, dans le canton de Vaud, la Chambre des recours pénale du Tribunal cantonal (art. 13 LVCPP [loi vaudoise d’introduction du Code de procédure pénale suisse du 19 mai 2019 ; BLV 312.01] ; art. 80 LOJV [loi vaudoise d’organisation judiciaire du 12 décembre 1979 ; BLV 173.01]).</w:t>
      </w:r>
    </w:p>
    <w:p>
      <w:r>
        <w:t>- 10 -</w:t>
      </w:r>
    </w:p>
    <w:p>
      <w:r>
        <w:rPr>
          <w:b/>
        </w:rPr>
        <w:t>E. 1.2</w:t>
      </w:r>
    </w:p>
    <w:p>
      <w:r>
        <w:t>En l’espèce, la recourante a, à la fois le statut de victime, et donc de lésée, dans la procédure pénale dirigée contre J.________ pour menaces qualifiées et viol (cf. art. 105 al. 1 let. a cum 115 et 116 al. 1 CPP), et celui de prévenue (cf. art. 104 al. 1 let. a CPP) dans la procédure instruite à son encontre pour faux témoignage. En cette dernière qualité, elle dispose d'un intérêt juridiquement protégé à obtenir le retranchement du procès-verbal de son audition et donc l'annulation de l'ordonnance entreprise, en tant que ce procès-verbal fonde, en partie, l'instruction diligentée à son encontre (art. 382 al. 1 CPP), et ce quand bien même elle n'est pas à l'origine de la demande de retranchement. Sur ce point, on relèvera en effet que la recourante n'était initialement pas assistée et que Me Daniel Trajilovic ne lui a été désigné en qualité de défenseur d'office que le 16 janvier 2025, date à laquelle le Ministère public a également statué sur la demande de retranchement du procès-verbal déposée le 24 décembre 2024 par J.________, étant au demeurant relevé que cette autorité n'a pas sollicité les déterminations de la recourante avant de statuer, et ne lui a manifestement pas non plus communiqué une copie de la demande. Son défenseur n'a en outre eu accès au dossier de la cause que postérieurement à la reddition de l'ordonnance entreprise (P. 34). Pour le surplus, le recours a été interjeté dans le délai légal auprès de l’autorité compétente et il satisfait aux conditions de forme prescrites (art. 385 al. 1 CPP). Il est donc recevable.</w:t>
      </w:r>
    </w:p>
    <w:p>
      <w:r>
        <w:rPr>
          <w:b/>
        </w:rPr>
        <w:t>E. 2.1</w:t>
      </w:r>
    </w:p>
    <w:p>
      <w:r>
        <w:t>; Moreillon/Parein Reymond, op. cit., n. 8 ad art. 78 CPP). Il n'est donc pas rare que les questions posées ne soient pas consignées et il appartiendra au juge du fond, le cas échéant, d'apprécier les réponses données à cette aune. Par ailleurs, sous l'angle du principe de la bonne foi, concrétisé à l'art. 3 al. 2 let. a CPP et qui vaut en procédure pénale pour les différentes parties (ATF 147 IV 274 consid. 1.10.1 ; TF 6B_846/2024 du 3 février 2025 consid. 3.3.1 et les références citées), le comportement de la recourante interpelle. Certes, elle n'était pas assistée d'un avocat lors de ses auditions, Me Daniel Trajilovic ayant annoncé son mandat en date du 10 janvier 2025 et sa désignation d'office ayant été prononcée le 16 janvier 2025. Néanmoins, l'interprète I.________ avait déjà fonctionné en cette qualité en faveur de la recourante lors d'une audience devant les autorités judiciaires civiles et, selon ses déclarations du 12 décembre 2024, elle avait rencontré des difficultés de traduction (PV aud. 3, ll. 254 à 257). Or, elle ne s'est pas opposée à ce qu'il exerce à nouveau en cette qualité lors de l'audition du 13 septembre 2024 et a expressément confirmé qu'ils se comprenaient. Elle ne saurait donc à présent se prévaloir du fait qu'elle devait utiliser Google Translate, en arabe, en parallèle de la traduction officielle effectuée par I.________, qu'il ne lui aurait peut-être pas traduit l'entièreté de ses propos ou encore qu'il n'est pas certain qu'elle ait compris le formulaire des droits et obligations qui lui a été soumis. Sur ce point, la recourante ne se prévaut d'ailleurs pas – à</w:t>
      </w:r>
    </w:p>
    <w:p>
      <w:r>
        <w:t>- 18 - juste titre – de ne pas avoir compris le formulaire qui lui a été présenté lors de son audition par le Ministère public en date du 12 décembre 2024 alors même qu'elle semble également avoir rencontré des difficultés de traduction avec l'interprète en langue arabe qui a fonctionné à cette occasion. On relèvera encore que la recourante n'a aucunement fait mention du recours à Google Translate, et a fortiori ne s'est pas prévalue de la prétendue illicéité de cet outil avant que l'agente de police soit auditionnée, se bornant à indiquer à la Procureure qu'elle s'était exprimée en français avec X.________, qui, selon elle, ne l'avait pas bien comprise (PV aud. 3, ll. 173-174). Lors de cette même audition, la recourante n'a par ailleurs pas – à juste titre – indiqué que tout ce qui avait été protocolé par l'agente de police en l'absence de l'interprète, soit au moyen de Google Translate, était erroné, mais uniquement que certaines choses figurant dans le rapport de police, respectivement dans son procès-verbal d'audition (P. 4) n'étaient pas « vraies », qu'elle n'avait « pas tout dit » lors de cette audition et qu'elle ne savait pas si « les policiers [avaient] pu sentir ce [qu'elle] avai[t] vécu car l'interprète était un homme » et ne la « comprenait pas bien au niveau du langage » (PV aud. 3, ll. 50 à 53). Enfin et en tout état de cause, à supposer que le procès-verbal d'audition du 13 septembre 2024 doive être considéré comme relativement inexploitable, la Chambre de céans relève que l'art. 141 al. 2 CPP – dont l'examen incombe en principe au juge du fond (cf. consid. 2.2.2 ci-dessus) – n’exclut pas l'exploitation des moyens de preuve administrés de manière illicite ou en violation de règles de validité lorsque leur exploitation est indispensable pour élucider des infractions graves (cf. ATF 149 IV 352 consid. 1.3.3). Cette hypothèse paraît pouvoir entrer en considération dans le cas d'espèce vu la gravité – que la recourante reconnaît d'ailleurs – des infractions reprochées à J.________, prévenu de menaces qualifiées et viol. Au vu des circonstances du cas d’espèce et, en particulier, du fait que les infractions dénoncées auraient été commises « entre quatre yeux », il s’avère nécessaire de réserver la pesée des intérêts au juge du fond, lequel disposera d'un dossier complet et pourra examiner la question à la lumière du résultat du processus probatoire, respectivement apprécier l'exploitabilité et la crédibilité des déclarations</w:t>
      </w:r>
    </w:p>
    <w:p>
      <w:r>
        <w:t>- 19 - faites, et faire abstraction de certaines d'entre elles s’il estime que celles- ci doivent être écartées. Compte tenu des éléments qui précèdent, à ce stade de l'instruction, le caractère inexploitable du procès-verbal d'audition du 13 septembre 2024 n'est pas manifeste de sorte qu'il n'y a pas lieu d'ordonner son retranchement du dossier pénal. Les griefs de la recourante doivent donc être rejetés.</w:t>
      </w:r>
    </w:p>
    <w:p>
      <w:r>
        <w:rPr>
          <w:b/>
        </w:rPr>
        <w:t>E. 2.2.1</w:t>
      </w:r>
    </w:p>
    <w:p>
      <w:r>
        <w:t>Selon l'art. 68 al. 1 CPP, la direction de la procédure fait appel à un traducteur ou un interprète lorsqu'une personne participant à la procédure ne comprend pas la langue de la procédure ou n'est pas en mesure de s'exprimer suffisamment bien dans cette langue. Pour les affaires simples ou urgentes, il peut être renoncé à une telle mesure, pour autant que la personne concernée y consente et que la direction de la procédure et le préposé au procès-verbal maîtrisent suffisamment bien la langue de cette personne (cf. TF 1B_564/2022 du 14 février 2023 consid. 3.2). Les dispositions relatives aux experts s'appliquent par analogie aux traducteurs et aux interprètes (art. 68 al. 5 CPP).</w:t>
      </w:r>
    </w:p>
    <w:p>
      <w:r>
        <w:rPr>
          <w:b/>
        </w:rPr>
        <w:t>E. 2.2.2</w:t>
      </w:r>
    </w:p>
    <w:p>
      <w:r>
        <w:t>Selon l'art. 140 CPP, les moyens de contrainte, le recours à la force, les menaces, les promesses, la tromperie et les moyens susceptibles de restreindre les facultés intellectuelles ou le libre arbitre sont interdits dans l'administration des preuves (al. 1) ; ces méthodes sont interdites même si la personne concernée a consenti à leur mise en œuvre (al. 2). A teneur de l’art. 141 CPP, les preuves administrées en violation de l’art. 140 CPP ne sont en aucun cas exploitables. Il en va de même lorsque le CPP dispose qu’une preuve n’est pas exploitable (al. 1). Les preuves qui ont été administrées d’une manière illicite ou en violation de règles de validité par les autorités pénales ne sont pas exploitables, à moins que leur exploitation soit indispensable pour élucider des infractions</w:t>
      </w:r>
    </w:p>
    <w:p>
      <w:r>
        <w:t>- 13 - graves (al. 2). Les preuves qui ont été administrées en violation de prescriptions d’ordre sont exploitables (al. 3). Si un moyen de preuve est recueilli grâce à une preuve non exploitable au sens de l’alinéa 1 ou 2, il n’est exploitable que s’il aurait pu être recueilli même sans l’administration de la première preuve (al. 4). Les pièces relatives aux moyens de preuves non exploitables doivent être retirées du dossier pénal, conservées à part jusqu’à la clôture définitive de la procédure, puis détruites (al. 5). L'art. 141 al. 2 CPP vise les cas où une preuve a été administrée en violation d'une norme pénale ou d'une règle de validité. Lorsque la loi ne qualifie pas elle-même une disposition de règle de validité, la distinction entre une telle règle et une prescription d'ordre s'opère en prenant principalement pour critère l'objectif de protection auquel est censée ou non répondre la norme. Si la disposition de procédure en cause revêt une importance telle pour la sauvegarde des intérêts légitimes de la personne concernée qu'elle ne peut atteindre son but que moyennant l'invalidation de l'acte de procédure accompli en violation de cette disposition, on a affaire à une règle de validité (ATF 148 IV 22 consid. 5.5.1 ; ATF 144 IV 302 consid. 3.4.3 ; TF 6B_527/2023 du 29 août 2023 consid. 2.1.2 ; TF 6B_933/2022 du 8 mai 2023 consid. 2.1.2 ; Message du Conseil fédéral du 21 décembre 2005 relatif à l'unification du droit de la procédure pénale, FF 2005, p. 1162-1163). Le Tribunal fédéral a essayé de circonscrire ce qu’il fallait entendre par « infraction grave » au sens de l’art. 141 al. 2 CPP. Il a posé que ce n'est pas à l'aune de la peine menace encourue, mais à celle de la gravité du cas d'espèce qu'il fallait déterminer si on avait affaire à une telle infraction. Ce qui est déterminant selon le Tribunal fédéral, c’est la gravité du fait concrètement reproché, ce qui doit se mesurer à l’aune de critères tels que le bien juridiquement protégé, la mesure dans laquelle ce bien a été menacé ou violé, la manière dont l’auteur a procédé ainsi que ses motifs (ATF 149 IV 352 consid. 1.3.3 ; ATF 147 IV 9 consid. 1.4.2 in fine et les références citées ; TF 6B_821/2021 du 6 septembre 2023 consid. 1.5.1).</w:t>
      </w:r>
    </w:p>
    <w:p>
      <w:r>
        <w:t>- 14 - L’autorité de recours cantonale est en principe compétente, durant la procédure préliminaire, pour trancher des litiges relatifs à l'exploitabilité des moyens de preuves (cf. ATF 143 IV 475 consid. 2.8 ; TF 1B_485/2021 du 26 novembre 2021 consid. 2.4.1). Le Tribunal fédéral a toutefois précisé qu’un certain degré de retenue était approprié selon les circonstances, notamment lorsque le litige porte sur des preuves relativement inexploitables au sens de l'art. 141 al. 2 CPP ; dans ce cas, il peut s'avérer nécessaire de réserver cette question au juge du fond qui pourra l'examiner à la lumière de l'ensemble des preuves, et ce, en particulier s'il convient de procéder à une pesée des intérêts et que le caractère inexploitable du moyen de preuve litigieux ne s'impose pas d'emblée (ATF 143 IV 475 consid. 2.7 ; TF 1B_485/2021 précité consid. 2.4.2). En tout état de cause, au stade de l'instruction, il convient de ne constater l'inexploitabilité de ce genre de moyen de preuve que dans des cas manifestes (ATF 143 IV 387 consid. 4.5 et 4.6 ; TF 1B_234/2018 du 27 juillet 2018 consid. 3.1, où il était allégué que la preuve – l’enregistrement d’une conversation – avait été obtenue en violation de l’art. 179ter CP ; TF 1B_84/2015 du 17 juin 2015 consid. 1. 3 ; CREP 19 mars 2024/207 consid. 2.4.1 ; Moreillon/Parein Reymond, Petit commentaire, Code de procédure pénale, 2e éd., Bâle 2016, n. 5 ad art. 141 CPP). En effet, au contraire du juge du fond, l'autorité d'instruction suit la maxime in dubio pro duriore ; ses décisions doivent donc être examinées à cette aune et les preuves écartées définitivement du dossier au sens de l'art. 141 al. 5 CPP qu'en cas d'inexploitabilité évidente (ATF 143 IV 387 consid. 4 ; cf. aussi TPF BB.2012.148 du 10 avril 2013 consid. 2.1).</w:t>
      </w:r>
    </w:p>
    <w:p>
      <w:r>
        <w:rPr>
          <w:b/>
        </w:rPr>
        <w:t>E. 2.3</w:t>
      </w:r>
    </w:p>
    <w:p>
      <w:r>
        <w:t>En l'espèce, l'hypothèse visée par l'art. 140 CPP n'entre manifestement pas en considération et il n'est pas question non plus de preuves recueillies au prix d'infractions pénales. On peut, tout au plus, s'interroger sur le respect d'éventuelles règles de validité relatives à la traduction d'une partie des déclarations de la recourante au moyen de l'outil Google Translate. A cet égard, il est patent que cet outil de traduction ne dispose pas des qualifications et compétences requises pour satisfaire aux</w:t>
      </w:r>
    </w:p>
    <w:p>
      <w:r>
        <w:t>- 15 - exigences légales en matière de traduction et que partant, il ne peut formellement fonctionner en qualité d'interprète, respectivement d'expert au sens de la loi (cf. art. 73ss et 182 à 191 CPP, par le renvoi de l'art. 68 al. 5 CPP). Toutefois, le recours à Google Translate lors de l'audition de la recourante du 13 septembre 2024 ne lui permet pas d'en déduire, en l'état, une inexploitabilité du procès-verbal y relatif ni, par conséquent, son retranchement du dossier pénal, pour les motifs qui suivent. C'est tout d'abord à tort que la recourante soutient que X.________ aurait illégalement endossé la fonction d'interprète en parallèle de son rôle de policière menant l'audition et, a fortiori, qu'il aurait été renoncé à la présence d'un interprète en violation de l'art. 68 CPP. En effet, l'audition de la recourante a eu lieu, dans le respect des formalités prévues (cf. art. 184 CPP), en présence de I.________, interprète agréé en langue kurde – soit la langue maternelle de la précitée –, qu'elle a affirmé comprendre. Ce n'est qu'au moment d'aborder les détails des faits du</w:t>
      </w:r>
    </w:p>
    <w:p>
      <w:r>
        <w:rPr>
          <w:b/>
        </w:rPr>
        <w:t>E. 3</w:t>
      </w:r>
    </w:p>
    <w:p>
      <w:r>
        <w:t>En définitive, le recours, manifestement mal fondé, doit être rejeté sans échange d'écritures (art. 390 al. 2 CPP) et l'ordonnance entreprise confirmée. La recourante, par Me Daniel Trajilovic, agissant comme « conseil d'office », a conclu au paiement d'une « indemnité d'office » en faveur du précité, ce par quoi il faut comprendre une indemnité de défenseur d'office (cf. consid. 1.2). La liste des opérations produite fait état de 7 heures et 55 minutes consacrées à la procédure de recours. La durée annoncée est adéquate. L’indemnité d’office allouée à Me Daniel Trajilovic doit donc être fixée à 1'425 fr., correspondant à une activité nécessaire d'avocat breveté de 7 heures et 55 minutes au tarif horaire de 180 fr., montant auquel s'ajoutent des débours forfaitaires à concurrence de 2 % des honoraires admis (art. 3bis al. 1 RAJ [règlement du 7 décembre 2010 sur l'assistance judiciaire en matière civile ; BLV 211.02.3], applicable par renvoi de l’art. 26b TFIP [tarif des frais de procédure et indemnités en matière pénale du 28 septembre 2010 ; BLV 312.03.1]), par 28 fr. 50 – les frais, respectivement débours de 71 fr. 25 dont l'avocat fait état n'étant pas motivés, ils ne sont pas retenus – et la TVA au taux de 8,1 % sur le tout, par 117 fr. 75, soit à 1'572 fr. au total en chiffres arrondis. Les frais de la présente procédure, constitués de l’émolument d’arrêt, par 1'980 fr. (art. 20 al. 1 TFIP), et des frais imputables à la défense d’office, par 1'572 fr., seront mis à la charge de la recourante, qui succombe (art. 428 al. 1 CPP).</w:t>
      </w:r>
    </w:p>
    <w:p>
      <w:r>
        <w:t>- 20 - Le remboursement à l’Etat de l’indemnité allouée au défenseur d’office ne sera exigible de la recourante que pour autant que sa situation financière le permette (art. 135 al. 4 CPP). Par ces motifs, la Chambre des recours pénale prononce : I. Le recours est rejeté. II. L'ordonnance du 16 janvier 2025 est confirmée. III. L’indemnité allouée au défenseur d’office de Z.________ est fixée à 1'572 fr. (mille cinq cent septante-deux francs). IV. Les frais d’arrêt, par 1'980 fr. (mille neuf cent huitante francs), ainsi que l’indemnité due au défenseur d’office de la recourante, par 1'572 fr. (mille cinq cent septante-deux francs), sont mis à la charge de Z.________. V. Le remboursement à l’Etat de l’indemnité allouée au chiffre IV ci-dessus ne sera exigible de Z.________ que pour autant que sa situation financière le permette. VI. L’arrêt est exécutoire. Le président : La greffière : Du Le présent arrêt, dont la rédaction a été approuvée à huis clos, est notifié, par l'envoi d'une copie complète, à : - Me Daniel Trajilovic, avocat (pour Z.________), - Me Hüsnü Yilmaz, avocat (pour J.________), - Ministère public central,</w:t>
      </w:r>
    </w:p>
    <w:p>
      <w:r>
        <w:t>- 21 - et communiqué à : - M. le Procureur général du canton de Vaud,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