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PE24.019756 vom 5. Mai 2025</w:t>
      </w:r>
    </w:p>
    <w:p>
      <w:r>
        <w:t>VD Tribunal cantonal, 2025-05-05, FR</w:t>
      </w:r>
    </w:p>
    <w:p>
      <w:r>
        <w:rPr>
          <w:b/>
        </w:rPr>
        <w:t xml:space="preserve">Quelle: </w:t>
      </w:r>
      <w:r>
        <w:t>https://mcp.opencaselaw.ch/entscheid/vd_gerichte_PE24.019756</w:t>
      </w:r>
    </w:p>
    <w:p>
      <w:r>
        <w:t>FR: VD_GERICHTE PE24.019756 du 5 mai 2025</w:t>
      </w:r>
    </w:p>
    <w:p>
      <w:r>
        <w:t>IT: VD_GERICHTE PE24.019756 del 5 maggio 2025</w:t>
      </w:r>
    </w:p>
    <w:p>
      <w:pPr>
        <w:pStyle w:val="Heading2"/>
      </w:pPr>
      <w:r>
        <w:t>Erwägungen</w:t>
      </w:r>
    </w:p>
    <w:p>
      <w:r>
        <w:rPr>
          <w:b/>
        </w:rPr>
        <w:t>E. 1.1.1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w:t>
      </w:r>
    </w:p>
    <w:p>
      <w:r>
        <w:t>- 4 -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mémoire arrive le dernier jour du délai au plus tard auprès d’une autorité suisse, même non compétente (art. 91 al. 4 CPP), ou que la Poste suisse en prenne possession avant l’expiration du délai (TF 6B_815/2023 du 16 juin 2023 consid. 3 ; TF 6B_39/2023 du 13 février 2023 consid. 2 ; TF 6B_692/2014 du 15 juillet 2014). La partie recourante qui choisit de transmettre son recours par une poste étrangère doit ainsi faire en sorte que celui-ci soit reçu à temps en le postant suffisamment tôt (TF 6B_815/2023 précité ; TF 6B_590/2021 du 29 septembre 2021 consid. 4 et les références citées). Si une personne réside à l’étranger, elle doit se voir signaler que le dépôt du recours auprès d’un office postal à l’étranger ne suffit pas à sauvegarder le délai (ATF 145 IV 259, JdT 2019 IV 323 ; ATF 144 II 401, JdT 2019 I 203).</w:t>
      </w:r>
    </w:p>
    <w:p>
      <w:r>
        <w:rPr>
          <w:b/>
        </w:rPr>
        <w:t>E. 1.2</w:t>
      </w:r>
    </w:p>
    <w:p>
      <w:r>
        <w:t>En l’espèce, l’ordonnance de non-entrée en matière objet de la présente procédure – qui porte la mention selon laquelle, pour les personnes résidant à l’étranger, la remise du recours doit se faire le jour de l’échéance auprès d’une représentation diplomatique ou consulaire suisse pour respecter le délai – a été envoyée le 25 octobre 2024 à D.________. Contrairement à ce que prévoit l’art. 85 al. 2 CPP, elle a été expédiée sous pli simple, de sorte que le Ministère public n’est pas en mesure d’établir la date de réception. Il s’ensuit qu’en l’absence d’élément contraire, il faut admettre qu’elle a été reçue par la recourante le</w:t>
      </w:r>
    </w:p>
    <w:p>
      <w:r>
        <w:rPr>
          <w:b/>
        </w:rPr>
        <w:t>E. 4</w:t>
      </w:r>
    </w:p>
    <w:p>
      <w:r>
        <w:t>novembre 2024 (cf. ATF 142 IV 125), comme elle le soutient. Le délai de dix jours pour recourir arrivait donc à échéance au plus tard le 14 novembre 2024. Or, selon le suivi des envois postaux « Track &amp; Trace », le pli contenant l’acte signé a été déposé à la Poste française le 12 novembre 2024 et n’est arrivé à la Poste suisse que le 18 novembre 2024, de sorte que l’acte est tardif et, partant, irrecevable. 2.</w:t>
      </w:r>
    </w:p>
    <w:p>
      <w:r>
        <w:t>- 5 - 2.1 La recourante fait valoir que la procureure, [...], qui a rendu l’ordonnance contestée avait déjà rendu une ordonnance de non-entrée en matière dans une précédente affaire de stationnement en lien avec le même immeuble. Elle soutient dès lors qu’il existerait potentiellement un conflit d’intérêt en lien avec ses affaires et qu’il serait préférable que la cause soit confiée à un(e) autre procureur(e). Dans ses déterminations du 24 avril 2025, le Ministère public a relevé qu’aucun motif de récusation prévu à l’art. 56 CPP n’était réalisé. 2.2 2.2.1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l’autorité de recours lorsque le Ministère public, les autorités pénales compétentes en matière de contraventions et les tribunaux de première instance sont concernés. 2.2.2 En l’espèce, la Chambre des recours pénale est compétente pour statuer sur la demande de récusation, dès lors que celle-ci est dirigée contre une procureure, soit une personne exerçant une fonction au sein d’une autorité pénale au sens des art. 56 et 59 al. 1 CPP (cf. CREP 3 septembre 2024/625 consid. 1.2). 2.3 2.3.1 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w:t>
      </w:r>
    </w:p>
    <w:p>
      <w:r>
        <w:t>- 6 -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ou lorsque d’autres motifs, notamment un rapport d’amitié étroit ou d’inimitié avec une partie ou son conseil juridique, sont de nature à la rendre suspecte de prévention (let. f). L’art. 56 let. f CPP a ainsi la portée d’une clause générale recouvrant tous les motifs de récusation non expressément prévus aux lettres précédentes de l’art. 56 CPP. Cette clause correspond à la garantie d’un tribunal indépendant et impartial instituée par les art. 30 al. 1 Cst. et</w:t>
      </w:r>
    </w:p>
    <w:p>
      <w:r>
        <w:rPr>
          <w:b/>
        </w:rPr>
        <w:t>E. 6</w:t>
      </w:r>
    </w:p>
    <w:p>
      <w:r>
        <w:t>§ 1 CEDH (ATF 143 IV 69 consid 3.2).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7B_57/2022 du 27 mars 2024 consid. 8.2.1). Dans ce contexte toutefois, seules des circonstances constatées objectivement doivent être prises en considération, les impressions purement individuelles des parties n’étant pas décisives (ATF 144 I 159 précité consid. 4.3 ; ATF 142 III 732 consid. 4.2.2). Selon la jurisprudence, des décisions ou des actes de procédure qui se révèlent par la suite erronés ne fondent pas en soi une apparence objective de prévention ; seules des erreurs particulièrement</w:t>
      </w:r>
    </w:p>
    <w:p>
      <w:r>
        <w:t>- 7 -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 TF 7B_677/2023 du 24 novembre 2023 consid. 3.2 ; TF 7B_189/2023 du 16 octobre 2023 consid. 2.2.1). Quant à l’art. 58 CPP, il dispose que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(al. 1). La personne concernée prend position sur la demande (al. 2). Ainsi, la récusation doit être demandée dans les jours qui suivent la connaissance de la cause de récusation, sous peine de déchéance (ATF 140 I 271 consid. 8.4.3 ; TF 7B_57/2022 précité consid. 8.2.2). 2.3.2 En l’espèce, la requête de récusation est infondée. Aucun des cas visés par l’art. 56 CPP n’apparaît en effet réalisé. En particulier, aucun autre motif que ceux évoqués aux let. a à e de la disposition, laissant suspecter, au sens de la let. f, une prévention de la procureure ne ressort des éléments au dossier. En réalité, la recourante se fonde sur des motifs vagues et semble reprocher à la procureure de ne pas avoir donné suite à ses plaintes, en rendant des ordonnances de non-entrée en matière. Or, ce n’est pas parce qu’une autorité ne donne pas suite, de manière motivée, à des requêtes, que cela fonde un motif de récusation. Cela n’atteste en effet pas d’erreurs particulièrement lourdes ou répétées qui violeraient</w:t>
      </w:r>
    </w:p>
    <w:p>
      <w:r>
        <w:t>- 8 - gravement les devoirs de la magistrate, fondant une suspicion de partialité de celle-ci, ou donnant une apparence de prévention. Enfin, en ce qui concerne la requête tendant à ce que la demande de récusation soit analysée sous l’angle de l’art. 58 CPP, elle est superflue et non pertinente, dans la mesure où cette disposition se borne à indiquer de quelle manière et quand une demande de récusation doit être présentée lorsqu’un motif de récusation ressortant de l’art. 56 CPP semble réalisé. Partant, la demande de récusation doit être rejetée dans la mesure où elle est recevable. 3. Il résulte de ce qui précède que le recours doit être déclaré irrecevable. Quant à la demande de récusation, celle-ci doit être rejetée dans la mesure où elle est recevable. La recourante a été dispensée du versement de sûretés, une décision sur l’assistance judiciaire étant réservée. Vu le sort du recours, il y a lieu de rejeter la requête d’assistance judiciaire, le recours étant manifestement voué à l’échec (cf. art. 136 al. 1 let. a CPP). Vu l’issue de la cause, les frais de la procédure de recours et de récusation, constitués en l’espèce de l’émolument d’arrêt (art. 422 al. 1 CPP), par 880 fr. (art. 20 al. 1 TFIP [Tarif des frais de procédure et indemnités en matière pénale du 28 septembre 2010 ; BLV 312.03.1]), seront mis à la charge de D.________, qui succombe (art. 428 al. 1 CPP). La recourante n’ayant pas établi de manière suffisante une éventuelle précarité et sa demande de récusation apparaissant à la limite de la témérité, une exonération des frais, au sens de l’art. 425 CPP, ne se justifie pas.</w:t>
      </w:r>
    </w:p>
    <w:p>
      <w:r>
        <w:t>- 9 - Par ces motifs, la Chambre des recours pénale prononce : I. Le recours est irrecevable. II. La demande de récusation est rejetée dans la mesure où elle est recevable. III. La requête d’assistance judiciaire est rejetée. IV. Les frais d’arrêt, par 880 fr. (huit cent huitante francs), sont mis à la charge de D.________. V. L’arrêt est exécutoire. La vice-présidente : La greffière : Du Le présent arrêt, dont la rédaction a été approuvée à huis clos, est notifié, par l’envoi d’une copie complète, à : -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