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PE24.019743 vom 17. Mai 2025</w:t>
      </w:r>
    </w:p>
    <w:p>
      <w:r>
        <w:t>VD Tribunal cantonal, 2025-05-17, FR</w:t>
      </w:r>
    </w:p>
    <w:p>
      <w:r>
        <w:rPr>
          <w:b/>
        </w:rPr>
        <w:t xml:space="preserve">Quelle: </w:t>
      </w:r>
      <w:r>
        <w:t>https://mcp.opencaselaw.ch/entscheid/vd_gerichte_PE24.019743</w:t>
      </w:r>
    </w:p>
    <w:p>
      <w:r>
        <w:t>FR: VD_GERICHTE PE24.019743 du 17 mai 2025</w:t>
      </w:r>
    </w:p>
    <w:p>
      <w:r>
        <w:t>IT: VD_GERICHTE PE24.019743 del 17 maggio 2025</w:t>
      </w:r>
    </w:p>
    <w:p>
      <w:pPr>
        <w:pStyle w:val="Heading2"/>
      </w:pPr>
      <w:r>
        <w:t>Erwägungen</w:t>
      </w:r>
    </w:p>
    <w:p>
      <w:r>
        <w:rPr>
          <w:b/>
        </w:rPr>
        <w:t>E. 1</w:t>
      </w:r>
    </w:p>
    <w:p>
      <w:r>
        <w:t>Aux termes de l’art. 393 al. 1 let. a CPP,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(ATF 143 IV 475 consid. 2 ; TF 1B_485/2021 du 26 novembre 2021 consid. 2.4 ; CREP 14 mai 2025/360 ; CREP 19 août 2024/586 consid. 1.1 ; CREP 28 mai 2020/414).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auprès de l’autorité compétente, par une partie qui a qualité pour recourir dès lors qu’elle conteste l’inexploitabilité du moyen de preuve (art. 382 al. 1 CPP), et satisfaisant</w:t>
      </w:r>
    </w:p>
    <w:p>
      <w:r>
        <w:t>- 4 - aux conditions de forme prescrites (art. 385 al. 1 CPP), le recours est recevable.</w:t>
      </w:r>
    </w:p>
    <w:p>
      <w:r>
        <w:rPr>
          <w:b/>
        </w:rPr>
        <w:t>E. 2.1</w:t>
      </w:r>
    </w:p>
    <w:p>
      <w:r>
        <w:t>Le recourant fait en substance valoir que l’époux de la prévenue pouvait apercevoir son téléphone portable, et donc qu’il aurait ainsi pu consentir implicitement à être filmé et enregistré ; il soutient qu’il n’y aurait ni contrainte, ni tromperie en l’espèce. Il fait en tout état de cause valoir que l’intérêt public à la découverte de la vérité devrait l’emporter sur l’intérêt privé de la prévenue à ce que la preuve demeure inexploitable.</w:t>
      </w:r>
    </w:p>
    <w:p>
      <w:r>
        <w:rPr>
          <w:b/>
        </w:rPr>
        <w:t>E. 2.2.1</w:t>
      </w:r>
    </w:p>
    <w:p>
      <w:r>
        <w:t>Le Code de procédure pénale contient des dispositions sur les méthodes d’administration des preuves interdites (art. 140 CPP) et sur l’exploitation des moyens de preuve obtenus illégalement (art. 141 CPP). 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w:t>
      </w:r>
    </w:p>
    <w:p>
      <w:r>
        <w:t>- 5 - moyens de preuves non exploitables doivent être retirées du dossier pénal, conservées à part jusqu’à la clôture définitive de la procédure, puis détruites (al. 5). Le Code de procédure pénale ne règle que l'administration des preuves par les autorités pénales de l'Etat, mais ne s'exprime pas expressément sur le traitement des moyens de preuve recueillis par des personnes privées. Selon la jurisprudence, les moyens de preuve obtenus légalement par des particuliers sont utilisables sans restriction dans le cadre du procès pénal (ATF 147 IV 16 consid. 1.2 ; TF 6B_385/2024 &amp; 6B_390/2024 du 30 septembre 2024 destinés à publication consid. 2.3 ; TF 6B_92/2022 du 5 juin 2024 consid. 1.3.1 ; TF 6B_68/2023 du 9 octobre 2023 consid. 2.1.2 ; TF 6B_1133/2021 du 1er février 2023 consid. 2.3.2, non publié à l’ATF 149 IV 153 ; chaque fois avec références). En revanche, les preuves obtenues illégalement par des particuliers ne sont exploitables que si elles auraient pu être obtenues légalement par les autorités de poursuite pénale et si, de manière cumulative, une pesée des intérêts plaide en faveur de leur exploitation. Lors de la pesée des intérêts, il convient d'appliquer le même critère que pour les preuves recueillies illégalement par les autorités pénales. L'exploitation n'est donc admissible que si elle est indispensable à l'élucidation d'une infraction grave au sens de l'art. 141 al. 2 CPP (cf. ATF 147 IV 16 précité consid. 1.1 ; ATF 147 IV 9 consid. 1.3.1 ; ATF 146 IV 226 consid. 2 ; TF 6B_219/2022 du 15 mai 2024 consid. 1.3.1 et les références citées). En tout état de cause, au stade de l’instruction, il convient de ne constater l’inexploitabilité de ce genre de moyen de preuve que dans des cas manifestes (ATF 146 IV 226 précité ; TF 7B_548/2024 du 9 juillet 2024 consid. 1.3 ; TF 7B_868/2023 du 1er décembre 2023 consid. 4.3.2). Le Tribunal fédéral a essayé de circonscrire ce qu’il fallait entendre par « infraction grave » au sens de l’art. 141 al. 2 CPP. Il a posé que ce n'est pas à l'aune de la peine menace encourue, mais à celle de la gravité du cas d'espèce qu'il fallait déterminer si on avait affaire à une telle infraction. Ce qui est déterminant selon le Tribunal fédéral, c’est la gravité du fait concrètement reproché, ce qui doit se mesurer à l’aune de</w:t>
      </w:r>
    </w:p>
    <w:p>
      <w:r>
        <w:t>- 6 - critères tels que le bien juridiquement protégé, la mesure dans laquelle ce bien a été menacé ou violé, la manière dont l’auteur a procédé ainsi que ses motifs (ATF 149 IV 352 consid. 1.3.3 ; ATF 147 IV 9 précité consid. 1.4.2 in fine et les références citées ; TF 6B_821/2021 du 6 septembre 2023 consid. 1.5.1).</w:t>
      </w:r>
    </w:p>
    <w:p>
      <w:r>
        <w:rPr>
          <w:b/>
        </w:rPr>
        <w:t>E. 2.2.2</w:t>
      </w:r>
    </w:p>
    <w:p>
      <w:r>
        <w:t>Aux termes de l’art. 179ter al. 1 CP (enregistrement non autorisé de conversations), quiconque, sans le consentement des autres interlocuteurs, enregistre sur un porteur de son une conversation non publique à laquelle il prend part, est, sur plainte, puni d’une peine privative de liberté d’un an au plus ou d’une peine pécuniaire. Selon la jurisprudence, pour déterminer si une conversation est « non publique » au sens de l’art.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 (ATF 146 IV 126 consid. 3.6). Le lieu devra être pris en considération s'agissant notamment de déterminer s'il s'agit d'un cercle privé ou au contraire accessible à tous (cf. Dupuis et al. [éd.], Petit commentaire du Code pénal, 2e éd., Bâle 2017, n. 6 ad art.179bis CP).</w:t>
      </w:r>
    </w:p>
    <w:p>
      <w:r>
        <w:rPr>
          <w:b/>
        </w:rPr>
        <w:t>E. 2.3</w:t>
      </w:r>
    </w:p>
    <w:p>
      <w:r>
        <w:t>En l’espèce, le visionnement de la seconde vidéo – qui est la seule pertinente puisque l’acte de recours mentionne un parapluie – permet de comprendre que l’objectif de la caméra ne visait pas l’interlocuteur du recourant, mais était dirigé sur le côté gauche de la scène ; la caméra a ainsi enregistré les images sises de ce côté – à savoir une haie et une partie d’un portail – mais pas ledit interlocuteur. Dans ces conditions, celui-ci ne pouvait pas – même s’il avait vu que le recourant tenait son téléphone portable dans une main –, partir du principe que ce</w:t>
      </w:r>
    </w:p>
    <w:p>
      <w:r>
        <w:t>- 7 - dernier enregistrait leur conversation. Ainsi, c’est à tort que le recourant affirme, au moyen d’une image, qu’il aurait filmé son interlocuteur de face ; du reste, cette image ne montre pas qu’il tenait un parapluie. Au demeurant, le recourant n’affirme pas que l’époux de la prévenue aurait vu qu’il était filmé, mais prétend qu’il « aurait (…) pu se demander » s’il était enregistré ou non. Compte tenu de ce qui précède, et sans préjuger d’une éventuelle poursuite pénale fondée sur l’art. 179ter CP, le recourant a manifestement enregistré l’époux de la prévenue à son insu – et donc sans son consentement, au sens de cette disposition –, essayant même de le faire parler, et ce dans le but de se créer une preuve. C’est donc à raison que le Ministère public a considéré que les preuves figurant sur la clé USB avaient été recueillies illicitement. Au surplus, force est de constater que les autorités pénales n’auraient pas pu obtenir les enregistrements en cause de manière licite. En effet, les infractions dénoncées, soit des injures, ne sauraient être qualifiées de graves au sens de la jurisprudence rendue sur l’art. 141 al. 2 CPP. En conclusion, c’est à raison que le Ministère public a considéré que les enregistrements litigieux ne pouvaient pas être exploités contre la prévenue et qu’il a ordonné leur retranchement du dossier. Quant à la retranscription du second enregistrement, retranchée à titre de preuve dérivée, le recourant ne développe pas d’argumentation.</w:t>
      </w:r>
    </w:p>
    <w:p>
      <w:r>
        <w:rPr>
          <w:b/>
        </w:rPr>
        <w:t>E. 3</w:t>
      </w:r>
    </w:p>
    <w:p>
      <w:r>
        <w:t>En définitive, le recours, manifestement mal fondé, doit être rejeté sans échange d’écritures (art. 390 al. 2 CPP) et l’ordonnance entreprise confirmée. Vu l’issue de la cause,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5 mars 2025 est confirmée. III. Les frais d’arrêt, par 770 fr. (sept cent septante francs), sont mis à la charge de B.________. IV. L’arrêt est exécutoire. Le président : La greffière : Du Le présent arrêt, dont la rédaction a été approuvée à huis clos, est notifié, par l'envoi d'une copie complète, à : - M. B.________, - Mme T.________, - Ministère public central, et communiqué à : - M. le Procureur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