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PE24.019398 vom 14. Januar 2025</w:t>
      </w:r>
    </w:p>
    <w:p>
      <w:r>
        <w:t>VD Tribunal cantonal, 2025-01-14, FR</w:t>
      </w:r>
    </w:p>
    <w:p>
      <w:r>
        <w:rPr>
          <w:b/>
        </w:rPr>
        <w:t xml:space="preserve">Quelle: </w:t>
      </w:r>
      <w:r>
        <w:t>https://mcp.opencaselaw.ch/entscheid/vd_gerichte_PE24.019398</w:t>
      </w:r>
    </w:p>
    <w:p>
      <w:r>
        <w:t>FR: VD_GERICHTE PE24.019398 du 14 janvier 2025</w:t>
      </w:r>
    </w:p>
    <w:p>
      <w:r>
        <w:t>IT: VD_GERICHTE PE24.019398 del 14 gennaio 2025</w:t>
      </w:r>
    </w:p>
    <w:p>
      <w:pPr>
        <w:pStyle w:val="Heading2"/>
      </w:pPr>
      <w:r>
        <w:t>Erwägungen</w:t>
      </w:r>
    </w:p>
    <w:p>
      <w:r>
        <w:rPr>
          <w:b/>
        </w:rPr>
        <w:t>E. 1</w:t>
      </w:r>
    </w:p>
    <w:p>
      <w:r>
        <w:t>CPP) et dans les formes prescrites (art. 385 al. 1 CPP), le recours est recevable, dans la mesure où T.________ demande l'annulation de l'ordonnance de non-entrée en matière. Le recours est pour le surplus irrecevable, les autres conclusions formulées par la recourante ne relevant pas de la compétence de la Chambre de céans, qui n'est pas habilitée à prononcer une condamnation, adresser des injonctions aux parties ou encore statuer sur les indemnités et frais concernant l'entier de la procédure. En ce qui concerne enfin la conclusion tendant à l'exonération des frais pour la procédure de recours, formulée après l'échéance du délai de recours, elle est également irrecevable.</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w:t>
      </w:r>
    </w:p>
    <w:p>
      <w:r>
        <w:t>- 5 -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La recourante se plaint d'une mauvaise application du droit, considérant en particulier que les propos « personne immature »,</w:t>
      </w:r>
    </w:p>
    <w:p>
      <w:r>
        <w:t>- 4 - « adolescent » et « langage limité » sont attentatoires à son honneur et la font paraître comme une personne méprisable. Elle tente de démontrer qu'elle est professionnellement compétente, contrairement à ce que prétend B.________, par la production de son curriculum vitae et de diverses attestations établies en sa faveur. Elle soutient que malgré le fait que son nom ne soit pas cité, elle est reconnaissable. Elle invoque également implicitement une violation du principe in dubio pro duriore.</w:t>
      </w:r>
    </w:p>
    <w:p>
      <w:r>
        <w:rPr>
          <w:b/>
        </w:rPr>
        <w:t>E. 2.2.1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2.2.2.1</w:t>
      </w:r>
    </w:p>
    <w:p>
      <w:r>
        <w:t>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w:t>
      </w:r>
    </w:p>
    <w:p>
      <w:r>
        <w:t>- 6 - ou un comportement clairement réprouvé par les conceptions morales généralement admises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w:t>
      </w:r>
    </w:p>
    <w:p>
      <w:r>
        <w:rPr>
          <w:b/>
        </w:rPr>
        <w:t>E. 2.2.2.2</w:t>
      </w:r>
    </w:p>
    <w:p>
      <w:r>
        <w:t>Se rend coupable de calomnie au sens de l'art. 174 ch. 1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 TF 6B_676/2017 du 15 décembre 2017 consid. 3.1). Sur le plan objectif, la calomnie implique donc la formulation ou la propagation d'allégations de fait fausses, qui soient attentatoires à l'honneur de la personne visée (TF 6B_1040/2022 précité consid. 3.1.1 ; TF 6B_1254/2019 précité consid. 6.1 ; TF 6B_676/2017 précité consid. 3.1 et les références citées).</w:t>
      </w:r>
    </w:p>
    <w:p>
      <w:r>
        <w:t>- 7 -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 TF 6B_676/2017 précité consid. 3.1).</w:t>
      </w:r>
    </w:p>
    <w:p>
      <w:r>
        <w:rPr>
          <w:b/>
        </w:rPr>
        <w:t>E. 2.3</w:t>
      </w:r>
    </w:p>
    <w:p>
      <w:r>
        <w:t>En l’espèce, il doit être donné acte à T.________ qu'elle est reconnaissable dans le commentaire rédigé par B.________, même si elle n'est pas nommée, dans la mesure où cet avis a été publié sur [...] au sujet de N.________Sàrl, société dont la recourante est la seule associée gérante (P. 9/1 annexe 2). Pour le reste, la recourante ne saurait être suivie. L'avis litigieux publié sur Internet n'est pas de nature à la faire apparaître comme une personne méprisable. En tant que B.________ critique les compétences professionnelles de T.________ et s'en prend au travail qu'elle a fourni à son service, ses allégations ne sont susceptibles que de léser la réputation professionnelle de celle-ci, mais elles ne portent pas atteinte à sa réputation personnelle, telle que protégée par les art. 173 et 174 CP, au sens de la jurisprudence précitée. Par conséquent, c’est à juste titre que le Ministère public a refusé d’entrer en matière sur la plainte de la recourante.</w:t>
      </w:r>
    </w:p>
    <w:p>
      <w:r>
        <w:rPr>
          <w:b/>
        </w:rPr>
        <w:t>E. 3</w:t>
      </w:r>
    </w:p>
    <w:p>
      <w:r>
        <w:t>En définitive, le recours, manifestement mal fondé, doit être rejeté, dans la mesure où il est recevable, sans échange d’écritures (art. 390 al. 2 CPP), et l’ordonnance entreprise confirmée. Le recours étant manifestement dénué de chances de succès, de même que les conclusions civiles que la recourante aurait pu prendre, la requête d’assistance judiciaire ne saurait être admise (art. 136 al. 1 let.</w:t>
      </w:r>
    </w:p>
    <w:p>
      <w:r>
        <w:t>- 8 - b CPP). La recourante ne sera dès lors pas exonérée des frais (art. 136 al. 2 let. b CPP). Les frais, constitués en l’espèce du seul 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16 octobre 2024 est confirmée. III. La requête d’assistance judiciaire est rejetée. IV. Les frais d'arrêt, par 770 fr. (sept cent septante francs), sont mis à la charge de T.________. V. L’arrêt est exécutoire. Le président : La greffière : Du Le présent arrêt, dont la rédaction a été approuvée à huis clos, est notifié, par l'envoi d'une copie complète, à : - Mme T.________, - Ministère public central, et communiqué à : - N.________Sàrl, - M. le Procureur de l'arrondissement du Nord vaudois,</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