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PE24.018909 vom 13. Mai 2025</w:t>
      </w:r>
    </w:p>
    <w:p>
      <w:r>
        <w:t>VD Tribunal cantonal, 2025-05-13, FR</w:t>
      </w:r>
    </w:p>
    <w:p>
      <w:r>
        <w:rPr>
          <w:b/>
        </w:rPr>
        <w:t xml:space="preserve">Quelle: </w:t>
      </w:r>
      <w:r>
        <w:t>https://mcp.opencaselaw.ch/entscheid/vd_gerichte_PE24.018909</w:t>
      </w:r>
    </w:p>
    <w:p>
      <w:r>
        <w:t>FR: VD_GERICHTE PE24.018909 du 13 mai 2025</w:t>
      </w:r>
    </w:p>
    <w:p>
      <w:r>
        <w:t>IT: VD_GERICHTE PE24.018909 del 13 maggio 2025</w:t>
      </w:r>
    </w:p>
    <w:p>
      <w:pPr>
        <w:pStyle w:val="Heading2"/>
      </w:pPr>
      <w:r>
        <w:t>Erwägungen</w:t>
      </w:r>
    </w:p>
    <w:p>
      <w:r>
        <w:rPr>
          <w:b/>
        </w:rPr>
        <w:t>E. 1</w:t>
      </w:r>
    </w:p>
    <w:p>
      <w:r>
        <w:t>A V***, à la B***, au domicile familial, entre l'année 2016 et le 31 août 2024, à plusieurs reprises, à des dates indéterminées, A.________ a déclaré à son épouse D.________ qu'il la tuerait si elle le quittait. Son épouse a été effrayée par ces propos.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 elle doit tenir ses 13J010</w:t>
      </w:r>
    </w:p>
    <w:p>
      <w:r>
        <w:t>- 11 - propres débats et prendre sa décision sous sa responsabilité et selon sa libre conviction, qui doit reposer sur le dossier et sa propre administration des preuves. L'appel tend à la répétition de l'examen des faits et au prononcé d'un nouveau jugement (TF 6B_494/2022 du 4 mai 2022 consid. 4.2 et les références citées).</w:t>
      </w:r>
    </w:p>
    <w:p>
      <w:r>
        <w:rPr>
          <w:b/>
        </w:rPr>
        <w:t>E. 3</w:t>
      </w:r>
    </w:p>
    <w:p>
      <w:r>
        <w:t>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2e éd., Bâle 2019, n. 19 ad art. 398 CPP et les références citées).</w:t>
      </w:r>
    </w:p>
    <w:p>
      <w:r>
        <w:rPr>
          <w:b/>
        </w:rPr>
        <w:t>E. 3.1</w:t>
      </w:r>
    </w:p>
    <w:p>
      <w:r>
        <w:t>Invoquant une constatation erronée des faits, l’appelant conteste sa condamnation pour menaces qualifiées et tentative de contrainte. Il relève en particulier que son épouse n’a pas vu de couteau, que la version de cette dernière est en contradiction avec celle de E.________ et que le témoignage du voisin K.________ n’apporte aucun élément déterminant. Il soutient ainsi qu’aucune preuve directe ne permet de conclure à des menaces de mort, ni à l’usage d’un couteau.</w:t>
      </w:r>
    </w:p>
    <w:p>
      <w:r>
        <w:rPr>
          <w:b/>
        </w:rPr>
        <w:t>E. 3.2.1</w:t>
      </w:r>
    </w:p>
    <w:p>
      <w:r>
        <w:t>La constatation des faits est incomplète au sens de l’art. 398 al.</w:t>
      </w:r>
    </w:p>
    <w:p>
      <w:r>
        <w:rPr>
          <w:b/>
        </w:rPr>
        <w:t>E. 3.2.2</w:t>
      </w:r>
    </w:p>
    <w:p>
      <w:r>
        <w:t>La présomption d’innocence, garantie par les art. 10 CPP, 32 al. 1 Cst. (Constitution fédérale de la Confédération suisse du 18 avril 1999 ; RS 101),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concernent tant le fardeau de la preuve que l'appréciation des preuves au sens large (ATF 148 IV 409 consid. 2.2 ; ATF 145 IV 154 consid. 13J010</w:t>
      </w:r>
    </w:p>
    <w:p>
      <w:r>
        <w:t>- 12 - 1.1). En tant que règle sur le fardeau de la preuve, elle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145 IV 154 précité et les références citées). Dans cette mesure, la présomption d'innocence se confond avec l'interdiction générale de l'arbitraire, prohibant une appréciation reposant sur des preuves inadéquates ou sans pertinence (ATF 148 IV 409 précité ; ATF 146 IV 88 consid. 1.3.1 ; ATF 145 IV 154 précité).</w:t>
      </w:r>
    </w:p>
    <w:p>
      <w:r>
        <w:rPr>
          <w:b/>
        </w:rPr>
        <w:t>E. 3.3</w:t>
      </w:r>
    </w:p>
    <w:p>
      <w:r>
        <w:t>On doit admettre les faits tels qu’exposés ci-dessus, compte tenu des éléments suivants. En premier lieu D.________, entendue directement après les faits, a affirmé que, le 31 août 2024, vers minuit, alors qu’elle dormait, son mari était revenu à la maison en hurlant et en tenant des propos incohérents et qu’elle avait pensé qu’il faisait une crise. Elle a expliqué qu’il avait pris son téléphone portable ainsi que celui de E.________ et ceux des enfants, qu’il les avait cachés, qu’il avait essayé de la frapper au visage, qu’elle avait mis sa main en protection, qu’il lui avait saisi le main gauche et l’avait tirée en direction de la cuisine, qu’à ce moment, il avait caché un couteau dans le dos, sans jamais le pointer dans sa direction, qu’elle en avait quand même vu la pointe, que c’était certainement un couteau de cuisine, et que les enfants et sa nièce avaient également vu cet objet. Elle a ajouté que son mari avait hurlé que si quelqu’un disait quelque chose à la police il allait tous les tuer (cf. P. 4 pp 4 et 5). Également entendue directement après les faits, E.________ a déclaré que le 31 août 2024, vers 1h00 du matin, un bruit assourdissant provenant de la porte les avait réveillés, que H.________ avait fait irruption dans la chambre, brandissant un couteau de cuisine dans sa main droite, 13J010</w:t>
      </w:r>
    </w:p>
    <w:p>
      <w:r>
        <w:t>- 13 - qu’il leur avait ordonné de lui remettre les téléphones, ce qu’elles avaient fait, que la lame de couteau, d’environ 15 centimètres était pointée en direction de sa tante, que de sa main libre, il avait agrippé le bras de sa tante pour l’entrainer vers la cuisine, que les enfants étaient en pleurs, qu’ils étaient tous terrifiés, que sans l’intervention du voisin, un drame aurait eu lieu et que le prévenu les avait menacés à plusieurs reprises, affirmant qu’il les tuerait s’ils parlaient à la police (cf. P. 4). Le voisin K.________, entendu le 1er novembre 2024, a déclaré qu’il avait entendu, vers minuit, des cris, qu’il avait sonné à la porte de la famille I.________ une première fois, que le prévenu lui avait dit que tout allait bien avant de refermer la porte, qu’il avait constaté que l’épouse était en larme, qu’il avait ensuite sonné une deuxième fois, qu’il avait alors constaté que la fille avait le visage rouge et que le fils était stoïque. Il a déclaré avoir installé le jour-même sur la porte de l’appartement de la famille I.________ un système d’alarme et une chaine de sécurité à la demande de Madame I.________, celle-ci étant terrifiée à l’idée que son mari pût revenir (PV aud 5). A cela s’ajoutent les déclarations du témoin L.________, qui a déclaré que lorsqu’elle était entrée chez elle, le 30 août 2024, vers minuit, elle avait entendu des cris et vu par une fenêtre deux femmes apeurées, ce qui l’avait amenée à appeler la police (PV aud. 7). Certes, l’épouse et la nièce ont retiré leurs plaintes et sont revenues partiellement sur leurs explications. Il convient toutefois de retenir leurs premières déclarations, celles-ci étant intervenues peu après les faits, sans qu’elles aient eu le temps de s’accorder sur leur version, étant précisé que leurs rétractations ultérieures s’expliquent parfaitement en raison des liens familiaux et de l’état de santé du prévenu. Par ailleurs, il ressort du dossier que A.________ souffre d’importantes pathologies et qu’il est bien connu des services police pour avoir des comportements agressifs et menaçants (cf. les nombreux extraits du JEP, P. 14 ss). Enfin, on rappellera que D.________, ses enfants et sa nièce se sont rendus au poste de police à 3h45 du matin accompagnés par le frère du prévenu qui était venu les 13J010</w:t>
      </w:r>
    </w:p>
    <w:p>
      <w:r>
        <w:t>- 14 - chercher, ce qui atteste également de la peur ressentie et de la gravité de la situation vécue.</w:t>
      </w:r>
    </w:p>
    <w:p>
      <w:r>
        <w:rPr>
          <w:b/>
        </w:rPr>
        <w:t>E. 3.4</w:t>
      </w:r>
    </w:p>
    <w:p>
      <w:r>
        <w:t>L’appelant ne conteste pas les qualifications juridiques retenues, qui doivent néanmoins être examinées d’office. Celui-ci a, à plusieurs reprises, menacé son épouse de la tuer, ce qui a effrayé cette dernière. La condamnation pour menaces qualifiées doit ainsi être confirmée. Pour le reste, l’infraction de contrainte aurait pu être retenue, D.________ et E.________ ayant remis leur téléphone portable au prévenu en raison des menaces proférées. Il convient toutefois, compte tenu de l’interdiction de la reformatio in pejus, de confirmer le jugement et de condamner le prévenu pour tentative de contrainte, dont les conditions sont réalisées.</w:t>
      </w:r>
    </w:p>
    <w:p>
      <w:r>
        <w:rPr>
          <w:b/>
        </w:rPr>
        <w:t>E. 4</w:t>
      </w:r>
    </w:p>
    <w:p>
      <w:r>
        <w:t>L’appelant ne conteste la peine que dans la mesure où il conclut à son acquittement. Elle doit être examinée d’office.</w:t>
      </w:r>
    </w:p>
    <w:p>
      <w:r>
        <w:rPr>
          <w:b/>
        </w:rPr>
        <w:t>E. 4.1.1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13J010</w:t>
      </w:r>
    </w:p>
    <w:p>
      <w:r>
        <w:t>- 15 - composantes de la culpabilité, il faut ajouter les facteurs liés à l'auteur lui- 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6B_984/2020 du 4 mars 2021 consid. 3.1 ; TF 6B_776/2019 du 20 novembre 2019 consid. 4.1).</w:t>
      </w:r>
    </w:p>
    <w:p>
      <w:r>
        <w:rPr>
          <w:b/>
        </w:rPr>
        <w:t>E. 4.2</w:t>
      </w:r>
    </w:p>
    <w:p>
      <w:r>
        <w:t>La culpabilité d’A.________ est importante. Les actes sont graves et ont été commis malgré plusieurs condamnations, qui n’ont guère eu d’effet dissuasif. Il s’en est pris à sa nièce et à son épouse, en présence de ses propres enfants et il paraît très probable que la situation se serait aggravée sans l’intervention du voisinage. Il a des antécédents. A décharge, on retiendra la situation difficile que traversait l’appelant à l’époque des faits. 13J010</w:t>
      </w:r>
    </w:p>
    <w:p>
      <w:r>
        <w:t>- 16 - L’appelant souffre en outre depuis des années de troubles mentaux et du comportement liés à l’utilisation de drogues multiples et de troubles liés à l’utilisation d’autres substances psychoactives, d’un trouble bipolaire, d’un syndrome douloureux somatoforme persistant, ainsi que de troubles cognitifs légers d’origine mixte toxique et psychiatrique. Il suit un traitement médicamenteux lourd. Cet état psychiatrique, attesté par des certificats médicaux (cf. let. Cc supra), justifie une légère diminution de responsabilité, ce qui atténue la faute de l’intéressé. Les peines pécuniaires auxquelles l’appelant a été précédemment condamné n’ayant manifestement eu aucun effet, une peine privative de liberté s’impose pour les deux infractions, dans une perspective de prévention et pour amener le prévenu à changer de comportement. L’infraction la plus grave est celle de menaces qualifiées, qui sera sanctionnée par une peine privative de liberté de 90 jours. Par l’effet du concours, cette peine sera augmentée de 35 jours pour l’infraction de contrainte. C’est ainsi une peine privative de liberté de 125 jours qui doit être prononcée à l’encontre de A.________. Cette peine sera ferme, l’appelant ne remplissant pas les conditions du sursis.</w:t>
      </w:r>
    </w:p>
    <w:p>
      <w:r>
        <w:rPr>
          <w:b/>
        </w:rPr>
        <w:t>E. 5</w:t>
      </w:r>
    </w:p>
    <w:p>
      <w:r>
        <w:t>La condamnation de l’appelant étant confirmée, aucune indemnité ne lui sera allouée pour la détention injustifiée et la détention dans des conditions illicites.</w:t>
      </w:r>
    </w:p>
    <w:p>
      <w:r>
        <w:rPr>
          <w:b/>
        </w:rPr>
        <w:t>E. 6</w:t>
      </w:r>
    </w:p>
    <w:p>
      <w:r>
        <w:t>Au vu de ce qui précède, l’appel doit être rejeté et le jugement entrepris confirmé. Le défenseur d’office de A.________ a produit en audience une liste d’opérations faisant état de 490 minutes effectuées par l’avocat et de 495 minutes effectuées par l’avocate-stagiaire. C’est excessif. On retiendra les 495 minutes d’activité nécessaire d’avocate-stagiaire annoncées et 13J010</w:t>
      </w:r>
    </w:p>
    <w:p>
      <w:r>
        <w:t>- 17 - 2h00 de d’activité d’avocat, correspondant au temps nécessaire à la supervision pour une affaire de ce type. C’est ainsi une indemnité de 1'485 fr. 05 qui sera allouée à Me Frank Tièche pour la procédure d’appel, correspondant à 2h00 d’avocat au tarif horaire de 180 fr., à 495 minutes d’avocat-stagiaire au tarif horaire de 110 fr., à 25 fr. 35 de débours au taux forfaitaire de 2% (et non de 5% comme réclamé par l’avocat) (cf. art. 3bis al. 1 RAJ [règlement sur l’assistance judiciaire en matière civile du 7 décembre 2010; BLV 211.02.3], applicable par renvoi de l’art. 26b TFIP [tarif des frais de procédure et indemnités en matière pénale du 28 septembre 2010; BLV 312.03.1]). –, à 80 fr. de vacation et à 111 fr. 20 de TVA. Vu l’issue de la cause, les frais de la procédure d’appel, par 3'094 fr. 05, constitués des émoluments de jugement et d’audience, par 1’610 fr. (art. 21 al. 1 et 2 TFIP [tarif des frais de procédure et indemnités en matière pénale du 28 septembre 2010 ; BLV 312.03.1]), ainsi que de l’indemnité précitée, sont mis à la charge de A.________, qui succombe (art. 428 al. 1 CPP). A.________ sera tenu de rembourser à l’Etat l’indemnité allouée à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