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PE24.018189 vom 2. Dezember 2024</w:t>
      </w:r>
    </w:p>
    <w:p>
      <w:r>
        <w:t>VD Tribunal cantonal, 2024-12-02, FR</w:t>
      </w:r>
    </w:p>
    <w:p>
      <w:r>
        <w:rPr>
          <w:b/>
        </w:rPr>
        <w:t xml:space="preserve">Quelle: </w:t>
      </w:r>
      <w:r>
        <w:t>https://mcp.opencaselaw.ch/entscheid/vd_gerichte_PE24.018189</w:t>
      </w:r>
    </w:p>
    <w:p>
      <w:r>
        <w:t>FR: VD_GERICHTE PE24.018189 du 2 décembre 2024</w:t>
      </w:r>
    </w:p>
    <w:p>
      <w:r>
        <w:t>IT: VD_GERICHTE PE24.018189 del 2 dicembre 2024</w:t>
      </w:r>
    </w:p>
    <w:p>
      <w:pPr>
        <w:pStyle w:val="Heading2"/>
      </w:pPr>
      <w:r>
        <w:t>Erwägungen</w:t>
      </w:r>
    </w:p>
    <w:p>
      <w:r>
        <w:rPr>
          <w:b/>
        </w:rPr>
        <w:t>E. 13</w:t>
      </w:r>
    </w:p>
    <w:p>
      <w:r>
        <w:t>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w:t>
      </w:r>
    </w:p>
    <w:p>
      <w:r>
        <w:t>- 9 - 2.3 En l’espèce, il est vrai que la motivation de l’ordonnance entreprise est succincte. Celle-ci comprend toutefois la mention des deux enquêtes faisant l’objet de la jonction, avec leurs numéros de référence et les infractions envisagées, l’indication que les causes sont connexes, ainsi que la mention de la disposition légale applicable. Dans un tel cas, la Chambre des recours pénale considère, du moins lorsque les deux procédures sont dirigées contre la même personne, que les parties peuvent saisir la portée de la décision du Ministère public et que leur droit d’être entendu n’est ainsi pas violé (CREP 5 octobre 2021/932 ; CREP 6 août 2020/616 ; CREP 3 avril 2019/270 ; CREP 6 juillet 2018/516 ; CREP 16 avril 2018/282). De surcroît, dans ses déterminations du 11 novembre 2024, le Ministère public a également indiqué que conformément à l’art. 29 CPP, il y avait lieu de poursuivre et juger, en une seule et même procédure, l’ensemble des infractions reprochées à un même prévenu et qu’il était dans l’intérêt de F.________ de pouvoir bénéficier d’un jugement unique. Le grief tiré d’une violation du droit d’être entendu doit ainsi être rejeté. 2.4 Sur le fond, le recourant invoque une violation de l’art. 30 CPP sans développer son grief, se contentant, dans ses déterminations du 18 novembre 2024, d’indiquer qu’il conteste que les conditions d’une jonction de cause soient réunies. Ce faisant, il n’explique pas quels seraient les motifs qui commanderaient une autre décision. Cette motivation apparaît par conséquent insuffisante. Quoi qu’il en soit, au vu des principes énoncés ci-dessus, la jonction des causes apparaît opportune, puisqu’elle permettra au prévenu, le cas échéant, de comparaître devant un seul tribunal, qui pourra se prononcer sur l’ensemble des infractions envisagées, et d’éviter des frais</w:t>
      </w:r>
    </w:p>
    <w:p>
      <w:r>
        <w:t>- 10 - de procédure supplémentaires liés à deux jugements, ce qui est conforme aux principes d’unité et d’économie de procédure. Le grief tiré d’une violation de l’art. 30 CPP doit ainsi être rejeté. 3. En définitive, le recours doit être rejeté et l’ordonnance entreprise confirmée. Me Fabien Mingard a requis sa désignation en qualité de défenseur d'office de F.________ pour la procédure de recours. Il convient de faire droit à cette requête. Il n’y a pas lieu de s’écarter du temps que Me Fabien Mingard a indiqué avoir consacré à la présente procédure de recours. L’indemnité d’office qui lui sera allouée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Vu le sort du recours, les frais de la procédure, constitués en l’espèce de l’émolument d'arrêt, par 1’100 fr. (art. 20 al. 1 TFIP), et des frais imputables à la défense d’office de F.________ (art. 422 al. 1 et 2 let. a CPP), fixés à 397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- 11 -</w:t>
      </w:r>
    </w:p>
    <w:p>
      <w:r>
        <w:t>- 12 - Par ces motifs, la Chambre des recours pénale prononce : I. Le recours est rejeté. II. L'ordonnance du 27 août 2024 est confirmée. III. L'indemnité allouée à Me Fabien Mingard, défenseur d'office de F.________, pour la procédure de recours est fixée à 397 fr. (trois cent nonante-sept francs). IV. Les frais d’arrêt, par 1’100 fr. (mille cent francs), ainsi que l’indemnité due au défenseur d’office du recourant, par 397 fr. (trois cent nonante-sept francs), sont mis à la charge de F.________.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Fabien Mingard, avocat (pour F.________), - Me Elodie Beyeler, avocate (pour F.________), - Me Astyanax Peca, avocat (pour A.________), - Mme M.________, - Hôtel L.________, - R.________,</w:t>
      </w:r>
    </w:p>
    <w:p>
      <w:r>
        <w:t>- 13 - - M. Y.________, - Mme K.________, - Q.________, - M. U.________, - Mme B.________, - N.________, - Mme D.________, - Mme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