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PE24.017196 vom 6. Dezember 2024</w:t>
      </w:r>
    </w:p>
    <w:p>
      <w:r>
        <w:t>VD Tribunal cantonal, 2024-12-06, FR</w:t>
      </w:r>
    </w:p>
    <w:p>
      <w:r>
        <w:rPr>
          <w:b/>
        </w:rPr>
        <w:t xml:space="preserve">Quelle: </w:t>
      </w:r>
      <w:r>
        <w:t>https://mcp.opencaselaw.ch/entscheid/vd_gerichte_PE24.017196</w:t>
      </w:r>
    </w:p>
    <w:p>
      <w:r>
        <w:t>FR: VD_GERICHTE PE24.017196 du 6 décembre 2024</w:t>
      </w:r>
    </w:p>
    <w:p>
      <w:r>
        <w:t>IT: VD_GERICHTE PE24.017196 del 6 dicembre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rPr>
          <w:b/>
        </w:rPr>
        <w:t>E. 1.2</w:t>
      </w:r>
    </w:p>
    <w:p>
      <w:r>
        <w:t>Interjeté en temps utile devant l’autorité compétente par la partie plaignante qui a qualité pour recourir (art. 382 al. 1 CPP), et satisfaisant aux conditions de forme prescrites (art. 385 al. 1 CPP), le recours est recevable. Les pièces nouvelles produites sont également recevables (art. 389 al. 3 CPP ; TF 1B_550/2022 du 17 novembre 2022 consid. 2).</w:t>
      </w:r>
    </w:p>
    <w:p>
      <w:r>
        <w:rPr>
          <w:b/>
        </w:rPr>
        <w:t>E. 2</w:t>
      </w:r>
    </w:p>
    <w:p>
      <w:r>
        <w:t>La recourante conteste l’appréciation du Ministère public, selon laquelle aucune infraction pénale n’aurait été commise. Sur le plan</w:t>
      </w:r>
    </w:p>
    <w:p>
      <w:r>
        <w:t>- 5 - factuel, elle fait valoir que si D.________ avait le droit de prélever le montant de son salaire sur son compte bancaire, il n’était en revanche pas autorisé à retirer davantage d’argent, et que si elle n’avait pas fait bloquer sa carte, après qu’il avait retiré 3'000 fr. en avril 2023, à un bancomat, sur la route menant au casino, il aurait pris encore plus d’argent pour le jouer.</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w:t>
      </w:r>
    </w:p>
    <w:p>
      <w:r>
        <w:rPr>
          <w:b/>
        </w:rPr>
        <w:t>E. 2.2</w:t>
      </w:r>
    </w:p>
    <w:p>
      <w:r>
        <w:t>Aux termes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w:t>
      </w:r>
    </w:p>
    <w:p>
      <w:r>
        <w:t>- 7 -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(ATF 128 IV 18 consid. 3a ; ATF 126 IV 165 consid. 2a ; TF 6B_653/2021 du 10 février 2022 consid. 1.3.2).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 l'escroquerie au mariage ».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 (TF 6B_653/2021 précité consid. 1.3.3 et les références citées). Sur le plan subjectif, l'escroquerie est une infraction intentionnelle, l'intention devant porter sur tous les éléments constitutifs de l'infraction. L'auteur doit en outre avoir agi dans le dessein de se procurer ou de procurer à un tiers un enrichissement illégitime,</w:t>
      </w:r>
    </w:p>
    <w:p>
      <w:r>
        <w:t>- 8 - correspondant au dommage de la dupe (ATF 134 IV 210 consid. 5.3 ; TF 6B_1070/2023 précité).</w:t>
      </w:r>
    </w:p>
    <w:p>
      <w:r>
        <w:rPr>
          <w:b/>
        </w:rPr>
        <w:t>E. 2.3</w:t>
      </w:r>
    </w:p>
    <w:p>
      <w:r>
        <w:t>En l’espèce, vu les auditions des parties, on ne peut exclure, au stade des investigations de police, que D.________ ait, nonobstant ses dénégations, profité de la détresse de la recourante et des sentiments qu’elle nourrissait à son égard pour l’inciter à lui remettre de l’argent, ce qui, au regard de la jurisprudence, pourrait être constitutif d’escroquerie, voire qu’il ait retiré des montants sur son compte bancaire, à son insu, dans le but d’assouvir un vice en matière de jeux d’argent. On relève en particulier que D.________ a déclaré qu’il n’avait pas accès à la carte de crédit de la plaignante (PV d’audition n° 2, R. 10 et R. 18), alors même que, de façon contradictoire, il a confirmé que ladite carte, qu’il avait donc en sa possession, avait été avalée par un distributeur situé dans un casino où il s’était rendu seul (PV d’audition n° 2, R. 12). De même, il est surprenant que le prévenu, dont la situation financière est difficile, ne puisse pas se souvenir avoir retiré, ce jour-là, une somme de 3'000 fr., comme semblent le démontrer les pièces produites par R.________ à l’appui de son recours (cf. P. 11). Enfin, il n’est pas déterminant, à ce stade, que la recourante se soit rendue à plusieurs reprises au casino, parfois seule, pour y jouer de l’argent, le prévenu ayant du reste admis l’avoir initiée à cette activité. En conséquence, il y a lieu d’annuler l’ordonnance entreprise et de retourner le dossier de la cause au Ministère public, afin que celui-ci ouvre une instruction pénale contre D.________ et qu’il procède, dans un premier temps, à l’examen des pièces produites à l’appui du recours (cf. P. 10 et 11), celles-ci étant susceptibles d’étayer les éléments contenus dans la plainte pénale.</w:t>
      </w:r>
    </w:p>
    <w:p>
      <w:r>
        <w:rPr>
          <w:b/>
        </w:rPr>
        <w:t>E. 3</w:t>
      </w:r>
    </w:p>
    <w:p>
      <w:r>
        <w:t>En définitive, le recours doit être admis et l’ordonnance entreprise annulée, le dossier de la cause étant renvoyé au Ministère public pour qu’il procède dans le sens des considérants. Les frais de la procédure de recours, constitués en l'espèce du seul émolument d'arrêt, par 880 fr. (art. 20 al. 1 TFIP [tarif des frais de</w:t>
      </w:r>
    </w:p>
    <w:p>
      <w:r>
        <w:t>- 9 - procédure et indemnités en matière pénale du 28 septembre 2010 ; BLV 312.03.1]), seront laissés à la charge de l’Etat (art. 423 al. 1 CPP). Par ces motifs, la Chambre des recours pénale prononce : I. Le recours est admis. II. L’ordonnance du 22 août 2024 est annulée. III. Le dossier de la cause est renvoyé au Ministère public de l’arrondissement du Nord vaudois pour qu’il procède dans le sens des considérants. IV. Les frais d’arrêt, par 880 fr. (huit cent huitante francs), sont laissés à la charge de l’Etat. V. L’arrêt est exécutoire. Le président : Le greffier : Du Le présent arrêt, dont la rédaction a été approuvée à huis clos, est notifié, par l'envoi d'une copie complète, à : - Mme R.________, - Ministère public central, et communiqué à : - Mme la Procureure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