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PE24.016637 vom 4. Oktober 2024</w:t>
      </w:r>
    </w:p>
    <w:p>
      <w:r>
        <w:t>VD Tribunal cantonal, 2024-10-04, FR</w:t>
      </w:r>
    </w:p>
    <w:p>
      <w:r>
        <w:rPr>
          <w:b/>
        </w:rPr>
        <w:t xml:space="preserve">Quelle: </w:t>
      </w:r>
      <w:r>
        <w:t>https://mcp.opencaselaw.ch/entscheid/vd_gerichte_PE24.016637</w:t>
      </w:r>
    </w:p>
    <w:p>
      <w:r>
        <w:t>FR: VD_GERICHTE PE24.016637 du 4 octobre 2024</w:t>
      </w:r>
    </w:p>
    <w:p>
      <w:r>
        <w:t>IT: VD_GERICHTE PE24.016637 del 4 ottobre 2024</w:t>
      </w:r>
    </w:p>
    <w:p>
      <w:pPr>
        <w:pStyle w:val="Heading2"/>
      </w:pPr>
      <w:r>
        <w:t>Erwägungen</w:t>
      </w:r>
    </w:p>
    <w:p>
      <w:r>
        <w:rPr>
          <w:b/>
        </w:rPr>
        <w:t>E. 3</w:t>
      </w:r>
    </w:p>
    <w:p>
      <w:r>
        <w:t>août 2024 et que les inspecteurs lui avaient lu une partie des déclarations de la plaignante (P. 11). Le 12 août 2024, la police de sûreté a rendu son rapport d’investigation (P. 18). Le 13 août 2024, la procureure a décidé de l’ouverture d’une instruction pénale contre B.N.________ pour avoir, le 18 juin 2024, poussé son mari au niveau de la poitrine et pour l’avoir menacé de venir sur son lieu de travail pour le diffamer (cf. PV des opérations). B. a) Par ordonnance du 13 août 2024, le Ministère public a refusé d’accorder l’accès au dossier à A.N.________. Se fondant sur l’art. 101 CPP (Code de procédure pénale suisse du</w:t>
      </w:r>
    </w:p>
    <w:p>
      <w:r>
        <w:rPr>
          <w:b/>
        </w:rPr>
        <w:t>E. 3.1</w:t>
      </w:r>
    </w:p>
    <w:p>
      <w:r>
        <w:t>Prenant appui sur le Message du Conseil fédéral qu’il cite partiellement, le recourant fait en substance grief à la procureure d’avoir ordonné la fourniture de sûretés en faisant abstraction de sa situation financière, qui ne lui permettrait pas de s’acquitter de l’avance requise. Il soutient de surcroît que le Ministère public aurait procédé à une appréciation anticipée des preuves infondée, dès lors que les dénonciations faites à l’égard de son épouse seraient en lien de connexité avec le comportement de celle-ci et participeraient à l’appréciation de la crédibilité des accusations qu’elle porterait contre lui. En d’autres termes, sa plainte ne serait pas chicanière.</w:t>
      </w:r>
    </w:p>
    <w:p>
      <w:r>
        <w:rPr>
          <w:b/>
        </w:rPr>
        <w:t>E. 3.2</w:t>
      </w:r>
    </w:p>
    <w:p>
      <w:r>
        <w:t>- 9 -</w:t>
      </w:r>
    </w:p>
    <w:p>
      <w:r>
        <w:rPr>
          <w:b/>
        </w:rPr>
        <w:t>E. 3.2.1</w:t>
      </w:r>
    </w:p>
    <w:p>
      <w:r>
        <w:t>Conformément à l’art. 303a CPP, entré en vigueur le 1er janvier 2024, en cas de délit contre l’honneur, le Ministère public peut astreindre le plaignant à fournir des suretés dans un délai déterminé pour couvrir les éventuels frais et indemnités (al. 1) ; si les sûretés ne sont pas fournies dans le délai imparti, la plainte pénale est réputée retirée (al. 2). La Directive n° 4.8 du Collège des procureurs du canton de Vaud du 4 janvier 2024 prévoit que seuls les délits contre l’honneur peuvent donner lieu à la fourniture de sûretés et que leur montant est fixé par le procureur en charge du dossier concerné. Hormis la nature du délit concerné – soit une infraction contre l’honneur – l’art. 303a CPP ne dit rien sur les conditions auxquelles la fourniture de sûretés peut être ordonnée. Il en va de même de la Directive du Collège des procureurs. Le Message du Conseil fédéral précise quant à lui ce qui suit : « Certains codes de procédure cantonaux permettaient de conditionner l’ouverture d’une procédure au versement d’une avance de frais, lorsque l’objet de la procédure était une infraction poursuivie sur plainte (notamment infractions contre l’honneur et voies de fait). Le Conseil fédéral propose, pour les infractions contre l’honneur, d’introduire la possibilité d’astreindre le plaignant à fournir des sûretés pour couvrir les éventuels frais et indemnités. Cela se justifie dans la mesure où, dans ces cas, la motivation du plaignant n’est bien souvent pas de dénoncer la violation d’un bien juridique, mais plutôt le désir de revanche. Si les motifs prépondérants de la plainte sont de cette nature, il paraît justifié de demander le versement d’une avance avant que la machine judiciaire ne se mette en mouvement. La disposition proposée n’implique aucune obligation de requérir des sûretés. Au contraire, le ministère public disposera d’une marge discrétionnaire pour statuer tant sur la fourniture des sûretés en tant que telle, que sur leur montant. Ce faisant, il doit notamment tenir compte de la portée de la cause et de la situation financière du plaignant. Une majorité des participants à la consultation se sont félicités de la possibilité d’exiger des sûretés. Certains ont demandé qu’on l’étende à d’autres infractions. » (Message du Conseil fédéral du 28</w:t>
      </w:r>
    </w:p>
    <w:p>
      <w:r>
        <w:t>- 10 - août 2019 concernant la modification du Code de procédure pénale [mise en œuvre de la motion 14.3383 de la Commission des affaires juridiques du Conseil des États « Adaptation du code de procédure pénal »] FF 2019 p. 6351, spéc. pp. 6408-6409 [ci-après : Message]).</w:t>
      </w:r>
    </w:p>
    <w:p>
      <w:r>
        <w:rPr>
          <w:b/>
        </w:rPr>
        <w:t>E. 3.2.2</w:t>
      </w:r>
    </w:p>
    <w:p>
      <w:r>
        <w:t>A la lecture du Message précité, on comprend que l’introduction de l’art. 303a CPP repose sur la volonté du Conseil fédéral de lutter contre les plaintes abusives. On ne peut toutefois pas en déduire que la fourniture de sûretés en cas de délits contre l’honneur est limitée aux situations où la plainte apparaît abusive ou chicanière. En effet, il apparait plutôt que le Conseil fédéral a voulu justifier l’introduction d’une règle générale – soit la possibilité d’astreindre le plaignant à fournir des sûretés dans tous les cas de plainte pour une infraction contre l’honneur – en prenant appui sur le fait que ces plaintes seraient quasi systématiquement motivées par un désir de revanche personnel. La précision selon laquelle le Ministère public dispose d’un pouvoir discrétionnaire pour décider de l’opportunité de la fourniture de sûretés va d’ailleurs dans ce sens. Le Conseil fédéral n’a, en tous les cas, pas expressément exclu que des sûretés puissent également être exigées lorsque la plainte n’apparait pas a priori abusive. Il parait en outre évident que si la fourniture de sûretés n’avait été envisagée que dans les cas de plaintes motivées par un désir de revanche personnel, il en aurait été fait mention dans le texte de l’art. 303a CPP. Il résulte de ce qui précède que la fourniture de sûretés en cas de délit contre l’honneur n’est pas limitée aux situations où la plainte apparaît abusive ou chicanière (cf. dans le même sens arrêt du Tribunal cantonal zurichois du 19 avril 2024 in : Blätter für zürcherische Rechtsprechung [ZR], 2024, n° 123 p. 132, consid. 4).</w:t>
      </w:r>
    </w:p>
    <w:p>
      <w:r>
        <w:rPr>
          <w:b/>
        </w:rPr>
        <w:t>E. 3.2.3</w:t>
      </w:r>
    </w:p>
    <w:p>
      <w:r>
        <w:t>Comme on l’a vu, le Message susmentionné relève que le Ministère public doit notamment tenir compte de la situation financière du plaignant lorsqu’il statue tant sur la fourniture des sûretés en tant que telle, que sur leur montant. Pour les auteurs du Basler Kommentar, il ne</w:t>
      </w:r>
    </w:p>
    <w:p>
      <w:r>
        <w:t>- 11 - serait en particulier pas possible d’ordonner la fourniture de sûretés lorsque le plaignant ne dispose pas des moyens de la payer (Riedo/Boner, in : Basler Kommentar, n. 7 ad art. 303a CPP). Le critère de la situation financière n’est toutefois pas adéquat pour décider de l’opportunité d’une avance. En effet, la capacité économique d’une partie ne constitue pas un critère usuel pour la fixation du montant des frais ou des indemnités qui peuvent être mis à sa charge selon le CPP. De plus, si l’on devait retenir que le critère de la situation financière du plaignant entre en considération, le Ministère public pourrait être amené à renoncer à exiger des sûretés d’un plaignant manifestement quérulent au motif qu’il est désargenté. Or, une telle issue serait clairement contraire à la volonté du Conseil fédéral et du législateur qui tend à lutter contre les plaintes abusives. Le plaignant qui ne dispose pas des ressources nécessaires pour payer les sûretés n’est en outre pas démuni puisqu’il pourra toujours solliciter l’assistance judiciaire et demander à être exonéré du paiement de l’avance de frais ordonnée aux conditions de l’art. 136 al. 1 CPP. Cette exonération ne sera en revanche octroyée qu’au plaignant dont l’action civile ne paraît pas vouée à l’échec (art. 136 al. 1 let. a CPP) et pourra ainsi être refusée à la personne qui poursuit un but moins louable. Compte tenu de ce qui précède, il faut considérer que la capacité financière du plaignant ne constitue pas un critère pour statuer tant sur le principe de la fourniture de sûretés que sur leur montant.</w:t>
      </w:r>
    </w:p>
    <w:p>
      <w:r>
        <w:rPr>
          <w:b/>
        </w:rPr>
        <w:t>E. 3.2.4</w:t>
      </w:r>
    </w:p>
    <w:p>
      <w:r>
        <w:t>Certains auteurs considèrent que même si l’autorité n’est liée par aucune condition dans le cas de l’art. 303a CPP (contrairement par exemple à la fourniture de sûretés prévue à l’art. 316 al. 4 CPP, laquelle ne peut être requise que « dans les cas dûment justifiés »), le versement de sûretés ne devrait néanmoins être exigé qui si la personne qui dépose plainte pénale fait valoir des conclusions civiles – la situation étant alors similaire à celle qui prévaut en droit civil (cf. art. 98 ss CPC [Code de procédure civile du 19 décembre 2008 ; RS 272]) – et/ou qu’il existe de bonnes raisons de penser qu’elle agit de manière téméraire ou par négligence grave – la situation étant alors assimilable à une forme de responsabilité pour faute (« Dabei handelt es sich um eine Art</w:t>
      </w:r>
    </w:p>
    <w:p>
      <w:r>
        <w:t>- 12 - Verschuldenshaftung ») – (Riedo/Boner, in : Basler Kommentar, n. 9 et 13 ad art. 303a CPP). Ces auteurs n’expliquent toutefois pas les raisons pour lesquelles la personne qui dépose plainte sans prendre de conclusions civiles ni agir de façon apparemment téméraire ou grossièrement négligente ne pourrait pas être astreinte au versement d’une avance. Cela étant, il convient de rappeler que les sûretés sont destinées à couvrir les éventuels frais et indemnités. Il parait ainsi judicieux qu’elles ne puissent être ordonnées par le Ministère public que dans les cas où ces frais et indemnités sont susceptibles d’être mis à la charge du plaignant en cas de non-entrée en matière, de classement ou d’acquittement. A cet égard, il ressort de la jurisprudence que la répartition des frais de procédure repose sur le principe selon lequel celui qui a causé les frais doit les supporter (ATF 145 IV 90 consid. 2.1 ; ATF 138 IV 248 consid. 4.4.1 ; TF 6B_108/2018 du 12 juin 2018 consid. 3.1 ; TF 6B_467/2016 du 14 juin 2017 consid. 2.3). En matière d’infractions poursuivies sur plainte, soit dans les cas de délits contre l’honneur notamment, l’art. 427 al. 2 CPP prévoit que les frais de procédure peuvent être mis à la charge du plaignant qui, ayant agi de manière téméraire ou par négligence grave, a provoqué l’ouverture de la procédure ou rendu plus difficile la conduite de celle-ci, ou de la partie plaignante si la procédure est classée ou le prévenu acquitté (let. a) et si le prévenu n’est pas astreint au paiement des frais conformément à l’art. 426 al. 2 (let. b). L’art. 432 al. 2 CPP précise quant à lui que lorsque le prévenu obtient gain de cause sur la question de sa culpabilité et que l’infraction est poursuivie sur plainte, le plaignant qui, ayant agi de manière téméraire ou par négligence grave, a provoqué l’ouverture de la procédure ou rendu plus difficile la conduite de celle-ci, ou la partie plaignante peuvent être tenus d’indemniser le prévenu pour les dépenses occasionnées par l’exercice raisonnable de ses droits de procédure. Selon la jurisprudence, le plaignant doit, dans ce contexte, être compris comme la personne qui a déposé une plainte pénale et qui a renoncé à user des droits qui sont les siens au sens de l'art. 120 CPP, étant précisé que cette renonciation ne vaut pas retrait de</w:t>
      </w:r>
    </w:p>
    <w:p>
      <w:r>
        <w:t>- 13 - la plainte pénale (ATF 145 IV 90 consid. 2.1 ; ATF 138 IV 248 consid. 4.2.1 ; TF 6B_108/2018 précité consid. 3.1 ; TF 6B_446/2015 du 10 juin 2015 consid. 2.1.2). Ainsi, la personne qui porte plainte pénale et qui prend part à la procédure comme partie plaignante doit assumer entièrement le risque lié aux frais, tandis que la personne qui porte plainte mais renonce à ses droits de partie ne doit supporter les frais qu'en cas de comportement téméraire (ATF 145 IV 90 consid. 2.1 ; ATF 138 IV 248 consid. 4.2.3 p. 253 ; TF 6B_108/2018 précité consid. 3.1 ; TF 6B_467/2016 précité consid. 2.3). Il découle de ce qui précède, qu’en matière de délits contre l’honneur, la personne qui porte plainte sans indiquer qu’elle renonce à ses droits de procédure peut être astreinte au paiement d’une avance de frais. Il en va de même de celle qui porte plainte et renonce à ses droits de procédure, mais dont le comportement apparaît d’emblée téméraire. En définitive, seule la personne qui porte plainte, mais qui renonce à ses droits et dont le comportement n’apparaît pas manifestement chicanier pourrait être dispensée d’une fourniture de sûretés.</w:t>
      </w:r>
    </w:p>
    <w:p>
      <w:r>
        <w:rPr>
          <w:b/>
        </w:rPr>
        <w:t>E. 3.3</w:t>
      </w:r>
    </w:p>
    <w:p>
      <w:r>
        <w:t>En l’espèce, le recourant a notamment déposé plainte pour calomnie, diffamation et injure, soit pour des délits contre l’honneur, de sorte que la fourniture de sûretés fondée sur l’art. 303a CPP entre en ligne de compte. Le recourant reproche tout d’abord au Ministère public d’avoir manifestement ignoré sa situation financière en ordonnant la fourniture de sûretés pour un montant excessif. Il ressort toutefois des explications et des pièces produites par le recourant que celui-ci perçoit un revenu mensuel moyen de 2’174 fr. 68 auquel s’ajoute une rente pour impotent de 490 fr. ainsi que des prestations complémentaires qui s’élèvent actuellement à 4’522 fr. ce qui représente un montant total de 7’186 fr. 85 (P. 25/2/5 et 25/2/6). Le recourant allègue par ailleurs une charge de loyer et d’assurance-maladie de respectivement 1’726 fr. et 489 fr. 15 par mois (P. 25/2/7 et 25/2/8). On peine dès lors à concevoir que le recourant ne soit pas en mesure de s’acquitter de la somme de 500 fr. requise par le</w:t>
      </w:r>
    </w:p>
    <w:p>
      <w:r>
        <w:t>- 14 - Ministère public à titre de sûretés. Quoi qu’il en soit, la question peut demeurer ouverte dans la mesure où, comme on l’a vu, la capacité économique du plaignant n’est pas déterminante pour statuer tant sur la question de la fourniture de sûretés que sur celle de leur montant (cf. consid. 3.2.3 supra). Pour le reste, le recourant a indiqué dans sa plainte pénale du</w:t>
      </w:r>
    </w:p>
    <w:p>
      <w:r>
        <w:rPr>
          <w:b/>
        </w:rPr>
        <w:t>E. 5</w:t>
      </w:r>
    </w:p>
    <w:p>
      <w:r>
        <w:t>août 2024 qu’il souhaitait participer aux actes de procédure et prendre des conclusions civiles le moment venu (P. 10). Il n’a ainsi nullement renoncé à ses droits de partie au sens de l’art. 120 CPP. Ce seul constat suffit à justifier une demande de sûretés de la part du recourant, sans qu’il ne soit nécessaire d’examiner en sus si sa plainte revêtait ou non un caractère téméraire (cf. consid. 3.2.2 et 3.2.4 supra). Il s’ensuit que les arguments du recourant à cet égard tombent à faux. Partant, l’ordonnance du 15 août 2024 est justifiée et doit être confirmée. 4. En définitive, le recours contre l’ordonnance du 13 août 2024 est admis, cette ordonnance étant réformée en ce sens que A.N.________ est autorisé à consulter l’intégralité du dossier de la cause. Le recours contre l’ordonnance du 15 août 2024 est quant à lui rejeté. Vu le sort du recours, les frais de la procédure, constitués en l’espèce de l’émolument d’arrêt, par 1’540 fr. (art. 20 al. 1 TFIP [Tarif des frais judiciaires et indemnités en matière pénale du 28 septembre 2010 ; BLV 312.03.1]) seront mis par moitié, soit 770 fr., à la charge du recourant, et laissés à la charge de l’Etat pour le surplus (art. 428 al. 4 CPP). Ayant obtenu gain de cause en ce qui concerne la première partie de son recours, pour laquelle il a agi en tant que défenseur d’office, Me Jérôme Campart a droit à une indemnité d’office, laissée à la charge de l’Etat. Au vu de l’acte de recours et de la nature de la cause, il convient de retenir 1 heure 30 d'activité nécessaire d’avocat au tarif horaire de 180 fr.</w:t>
      </w:r>
    </w:p>
    <w:p>
      <w:r>
        <w:t>- 15 - (art. 2 al. 1 let. a et 3 al. 2 RAJ [règlement sur l'assistance judiciaire en matière civile du 7 décembre 2010 ; BLV 211.02.3] par renvoi de l'art. 26b TFIP), soit 270 francs. S'y ajoutent 2 % pour les débours (art. 3bis al. 1 RAJ par renvoi de l'art. 26b TFIP) et 8,1 % de TVA sur le tout, de sorte que l'indemnité d'office est arrêtée au total à 298 francs. Par ces motifs, la Chambre des recours pénale prononce : I. Le recours contre l’ordonnance du 13 août 2024 est admis. II. L’ordonnance du 13 août 2024 est réformée en ce sens que A.N.________ est autorisé à consulter l’intégralité du dossier de la cause. III. Le recours contre l’ordonnance du 15 août 2024 est rejeté. IV. L’indemnité allouée à Me Jérôme Campart, défenseur d’office de A.N.________, est fixée à 298 fr. (deux cent nonante-huit francs). V. Les frais d’arrêt, par 1’540 fr. (mille cinq cent quarante francs), sont mis par moitié, soit 770 fr. (sept cent septante francs) à la charge de A.N.________, le solde, ainsi que l’indemnité fixée au ch. IV ci-dessus, étant laissés à la charge de l’Etat. VI. L’arrêt est exécutoire. Le président : La greffière :</w:t>
      </w:r>
    </w:p>
    <w:p>
      <w:r>
        <w:t>- 16 - Du Le présent arrêt, dont la rédaction a été approuvée à huis clos, est notifié, par l'envoi d'une copie complète, à : - Me Jérôme Campart (pour A.N.________), - Ministère public central,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