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PE24.016294 vom 24. März 2025</w:t>
      </w:r>
    </w:p>
    <w:p>
      <w:r>
        <w:t>VD Tribunal cantonal, 2025-03-24, FR</w:t>
      </w:r>
    </w:p>
    <w:p>
      <w:r>
        <w:rPr>
          <w:b/>
        </w:rPr>
        <w:t xml:space="preserve">Quelle: </w:t>
      </w:r>
      <w:r>
        <w:t>https://mcp.opencaselaw.ch/entscheid/vd_gerichte_PE24.016294</w:t>
      </w:r>
    </w:p>
    <w:p>
      <w:r>
        <w:t>FR: VD_GERICHTE PE24.016294 du 24 mars 2025</w:t>
      </w:r>
    </w:p>
    <w:p>
      <w:r>
        <w:t>IT: VD_GERICHTE PE24.016294 del 24 marzo 2025</w:t>
      </w:r>
    </w:p>
    <w:p>
      <w:pPr>
        <w:pStyle w:val="Heading2"/>
      </w:pPr>
      <w:r>
        <w:t>Erwägungen</w:t>
      </w:r>
    </w:p>
    <w:p>
      <w:r>
        <w:rPr>
          <w:b/>
        </w:rPr>
        <w:t>E. 1</w:t>
      </w:r>
    </w:p>
    <w:p>
      <w:r>
        <w:t>CPP). Cependant, cet acte ne comporte aucun moyen dirigé contre les motifs ou le dispositif de l’ordonnance attaquée et qui, en se référant aux considérants de cette décision, commanderait d’en rendre une autre. En effet, le recourant se limite à exposer qu’il a été frappé, qu’il s’est défendu, qu’il a subi des blessures dont il garde des séquelles et qu’il souhaite exercer ses droits. Il ne conteste toutefois ni le principe de la jonction des procédures, ni les motifs exposés par la procureure (connexité et identité d’un des prévenus), que ce soit expressément ou implicitement. Le recours ne satisfait donc pas aux exigences de motivation au sens de l’art. 385 al. 1 CPP et doit être déclaré irrecevable. Un tel défaut de motivation ne saurait par ailleurs justifier qu’un délai supplémentaire soit imparti au recourant pour compléter son acte en application de l’art. 385 al. 2 CPP compte tenu de la jurisprudence précitée.</w:t>
      </w:r>
    </w:p>
    <w:p>
      <w:r>
        <w:rPr>
          <w:b/>
        </w:rPr>
        <w:t>E. 1.1</w:t>
      </w:r>
    </w:p>
    <w:p>
      <w:r>
        <w:t>Les parties peuvent attaquer une ordonnance de jonction rendue par le Ministère public en application de l’art. 30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- 3 -</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7B_51/2024 précité consid. 2.2.2; TF 6B_1447/2022 précité consid. 1.1). Elle ne saurait dès lors être complétée ou corrigée ultérieurement, l’art. 385 al. 2 CPP ne devant pas être appliqué afin de détourner la portée de l’art. 89 al. 1 CPP,</w:t>
      </w:r>
    </w:p>
    <w:p>
      <w:r>
        <w:t>- 4 - qui interdit la prolongation des délais fixés par la loi et n’autorise pas la partie à compléter un acte dépourvu de motivation (TF 6B_1447/2022 précité consid. 1.1).</w:t>
      </w:r>
    </w:p>
    <w:p>
      <w:r>
        <w:rPr>
          <w:b/>
        </w:rPr>
        <w:t>E. 1.3</w:t>
      </w:r>
    </w:p>
    <w:p>
      <w:r>
        <w:t>En l’espèce, comme on le verra ci-après, au vu de son contenu, on peut se demander si l’acte du 12 mars 2025 doit bien être considéré comme un recours dirigé contre l’ordonnance du 10 mars 2025. Tel est toutefois bien le cas, dès lors que le recourant indique qu’il souhaite faire « appel » et qu’il a joint la décision précitée à son envoi. Le recours a été interjeté dans le délai légal auprès de l’autorité compétente par la partie plaignante et prévenue qui a qualité pour recourir (art. 382 al.</w:t>
      </w:r>
    </w:p>
    <w:p>
      <w:r>
        <w:rPr>
          <w:b/>
        </w:rPr>
        <w:t>E. 2</w:t>
      </w:r>
    </w:p>
    <w:p>
      <w:r>
        <w:t>Au vu de ce qui précède, le recours doit être déclaré irrecevable, sans échange d’écritures (art. 390 al. 2 CPP). Les frais de la procédure de recours, constitués du seul émolument d’arrêt, par 440 fr. (art. 20 al. 1 TFIP [tarif des frais de procédure et indemnités en matière pénale du 28 septembre 2010 ; BLV 312.03.1]), seront mis à la charge du recourant, qui succombe (art. 428 al. 1 CPP).</w:t>
      </w:r>
    </w:p>
    <w:p>
      <w:r>
        <w:t>- 5 - Par ces motifs, la Chambre des recours pénale prononce : I. Le recours est irrecevable. II. Les frais d’arrêt, par 440 fr. (quatre cent quarante francs), sont mis à la charge de E.________. III. L’arrêt est exécutoire. Le président : Le greffier : Du Le présent arrêt, dont la rédaction a été approuvée à huis clos, est notifié, par l'envoi d'une copie complète, à : - E.________, - Me Margaux Thurneysen, avocate (pour A.W.________), - Ministère public central, et communiqué à : - Mme la Procureure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