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PE24.016190 vom 4. März 2025</w:t>
      </w:r>
    </w:p>
    <w:p>
      <w:r>
        <w:t>VD Tribunal cantonal, 2025-03-04, FR</w:t>
      </w:r>
    </w:p>
    <w:p>
      <w:r>
        <w:rPr>
          <w:b/>
        </w:rPr>
        <w:t xml:space="preserve">Quelle: </w:t>
      </w:r>
      <w:r>
        <w:t>https://mcp.opencaselaw.ch/entscheid/vd_gerichte_PE24.016190</w:t>
      </w:r>
    </w:p>
    <w:p>
      <w:r>
        <w:t>FR: VD_GERICHTE PE24.016190 du 4 mars 2025</w:t>
      </w:r>
    </w:p>
    <w:p>
      <w:r>
        <w:t>IT: VD_GERICHTE PE24.016190 del 4 marzo 2025</w:t>
      </w:r>
    </w:p>
    <w:p>
      <w:pPr>
        <w:pStyle w:val="Heading2"/>
      </w:pPr>
      <w:r>
        <w:t>Erwägungen</w:t>
      </w:r>
    </w:p>
    <w:p>
      <w:r>
        <w:rPr>
          <w:b/>
        </w:rPr>
        <w:t>E. 4</w:t>
      </w:r>
    </w:p>
    <w:p>
      <w:r>
        <w:t>Compte tenu de la situation de l’appelant et de la faute commise, l'amende de 450 fr., prononcée par la première juge, est adéquate et peut être confirmée. La conversion de l’amende en une peine privative de liberté de 5 jours en cas de non-paiement fautif est proportionnée et peut également être confirmée.</w:t>
      </w:r>
    </w:p>
    <w:p>
      <w:r>
        <w:t>- 12 -</w:t>
      </w:r>
    </w:p>
    <w:p>
      <w:r>
        <w:rPr>
          <w:b/>
        </w:rPr>
        <w:t>E. 5</w:t>
      </w:r>
    </w:p>
    <w:p>
      <w:r>
        <w:t>Vu le sort de l’appel, aucune indemnité ne sera allouée à H.________ sur la base de l’art. 429 CPP pour ses frais de défense.</w:t>
      </w:r>
    </w:p>
    <w:p>
      <w:r>
        <w:rPr>
          <w:b/>
        </w:rPr>
        <w:t>E. 6</w:t>
      </w:r>
    </w:p>
    <w:p>
      <w:r>
        <w:t>En définitive, l’appel doit être rejeté et le jugement attaqué confirmé. Les frais d’appel, par 990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