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PE24.016100 vom 30. Januar 2025</w:t>
      </w:r>
    </w:p>
    <w:p>
      <w:r>
        <w:t>VD Tribunal cantonal, 2025-01-30, FR</w:t>
      </w:r>
    </w:p>
    <w:p>
      <w:r>
        <w:rPr>
          <w:b/>
        </w:rPr>
        <w:t xml:space="preserve">Quelle: </w:t>
      </w:r>
      <w:r>
        <w:t>https://mcp.opencaselaw.ch/entscheid/vd_gerichte_PE24.016100</w:t>
      </w:r>
    </w:p>
    <w:p>
      <w:r>
        <w:t>FR: VD_GERICHTE PE24.016100 du 30 janvier 2025</w:t>
      </w:r>
    </w:p>
    <w:p>
      <w:r>
        <w:t>IT: VD_GERICHTE PE24.016100 del 30 gennaio 2025</w:t>
      </w:r>
    </w:p>
    <w:p>
      <w:pPr>
        <w:pStyle w:val="Heading2"/>
      </w:pPr>
      <w:r>
        <w:t>Erwägungen</w:t>
      </w:r>
    </w:p>
    <w:p>
      <w:r>
        <w:rPr>
          <w:b/>
        </w:rPr>
        <w:t>E. 1.1</w:t>
      </w:r>
    </w:p>
    <w:p>
      <w:r>
        <w:t>Les parties peuvent attaquer une ordonnance de classement rendue par le Ministère public en application des art. 319 ss CPP dans un délai de dix jours devant l’autorité de recours (art. 322 al. 2 et 396 al. 1 CPP ;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t>- 4 -</w:t>
      </w:r>
    </w:p>
    <w:p>
      <w:r>
        <w:rPr>
          <w:b/>
        </w:rPr>
        <w:t>E. 1.2</w:t>
      </w:r>
    </w:p>
    <w:p>
      <w:r>
        <w:t>Interjeté en temps utile auprès du Ministère public qui l’a transmis à l’autorité compétente (art. 91 al. 4 CPP), et dans les formes prescrites (art. 385 al. 1 CPP), par la prévenue qui a la qualité pour recourir (art. 382 al. 1 CPP), le recours est recevable en tant qu’il concerne la mise à sa charge des frais de la procédure.</w:t>
      </w:r>
    </w:p>
    <w:p>
      <w:r>
        <w:rPr>
          <w:b/>
        </w:rPr>
        <w:t>E. 1.3</w:t>
      </w:r>
    </w:p>
    <w:p>
      <w:r>
        <w:t>L'art. 395 let. b CPP prévoit que si l’autorité de recours est un tribunal collégial – ce qui est le cas de la Chambre des recours pénale, laquelle statue à trois juges (art. 67 al. 1 let. i LOJV; art. 12 al. 1 ROTC [Règlement organique du Tribunal cantonal du 13 novembre 2007 ; BLV 173.31.1]) –, sa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 Dès lors que le recours porte uniquement sur les conséquences économiques accessoires d’une décision de classement et que le montant litigieux, de 675 fr., est inférieur à 5'000 fr. (art. 395 let. b CPP), il relève de la compétence d’un membre de la Chambre des recours pénale du Tribunal cantonal statuant comme juge unique (art. 13 al. 2 LVCPP).</w:t>
      </w:r>
    </w:p>
    <w:p>
      <w:r>
        <w:rPr>
          <w:b/>
        </w:rPr>
        <w:t>E. 2</w:t>
      </w:r>
    </w:p>
    <w:p>
      <w:r>
        <w:t>CPP ne pouvaient pas être remplies. C’est donc à tort que la procureure a condamné A.________ au paiement des frais de la procédure.</w:t>
      </w:r>
    </w:p>
    <w:p>
      <w:r>
        <w:t>- 7 -</w:t>
      </w:r>
    </w:p>
    <w:p>
      <w:r>
        <w:rPr>
          <w:b/>
        </w:rPr>
        <w:t>E. 2.1</w:t>
      </w:r>
    </w:p>
    <w:p>
      <w:r>
        <w:t>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(ATF 144 IV 202 précité). Il faut pour cela que le prévenu ait adopté un comportement fautif et reprochable, non sous l’angle pénal du terme, mais au regard du droit civil (Fontana, in : Jeanneret/Kuhn/Perrier Depeursinge [éd.], Commentaire romand, Code de procédure pénale suisse, 2e éd., Bâle 2019, n. 2 ad art. 426 CPP). Une condamnation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précité). En outre, le juge doit fonder sa décision sur des faits incontestés ou déjà clairement établis (ATF 112 Ia</w:t>
      </w:r>
    </w:p>
    <w:p>
      <w:r>
        <w:t>- 6 - 371 consid. 2a ; TF 6B_248/2022 du 26 octobre 2022 consid. 1.1 ; TF 6B_1003/2021 du 8 septembre 2022 consid. 1.1 ; TF 6B_1090/2020 du 1er avril 2021 consid. 2.1.1). Enfin, c’est à l’autorité qu’il incombe de prouver que les quatre conditions posées par la jurisprudence rendue au sujet de l’art. 41 CO sont remplies (violation d’une norme de comportement, faute, dommage, lien de causalité ; cf. Domeisen, in : Niggli/Heer/Wiprächtiger [éd.], Basler Kommentar, Schweizerische Strafprozessordnung, Jugendstrafprozessordnung, 3e éd., Bâle 2023, n. 35 ad art. 426 StPO et les références citées).</w:t>
      </w:r>
    </w:p>
    <w:p>
      <w:r>
        <w:rPr>
          <w:b/>
        </w:rPr>
        <w:t>E. 2.2</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Si les conditions d’application de cette disposition légale ne sont pas remplies, les frais doivent être laissés à la charge de l’Etat, conformément à l’art. 423 CPP.</w:t>
      </w:r>
    </w:p>
    <w:p>
      <w:r>
        <w:t>- 5 -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(ATF 144 IV 202 consid. 2.2 et les arrêts cités ; TF 6B_886/2018 du 31 octobre 2018 consid. 2.1.1).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7B_46/2022 du 31 août 2023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w:t>
      </w:r>
    </w:p>
    <w:p>
      <w:r>
        <w:rPr>
          <w:b/>
        </w:rPr>
        <w:t>E. 2.3</w:t>
      </w:r>
    </w:p>
    <w:p>
      <w:r>
        <w:t>En l’espèce, le Ministère public a justifié la mise des frais à la charge de la recourante en disant que son comportement avait conduit à l’ouverture de l’action pénale. Ce faisant, la procureure n’expose pas quelle norme de comportement écrite ou non écrite résultant de l’ordre juridique suisse la recourante aurait violé, d’une part. D’autre part, le Ministère public méconnait qu’il a constaté, dans l’ordonnance de classement, que A.________ n’était pas consciente que les personnes qu’elle avait cherché à faire fuir étaient des agents de police et que, par conséquent, l’élément subjectif de l’infraction de l’art. 285 CP faisait défaut. Dans ces circonstances, il n’est pas possible de déduire que la recourante aurait pu commettre une faute au sens du droit civil en transgressant une éventuelle norme de comportement ; en effet, la faute est définie comme un manquement de la volonté au devoir imposé par l’ordre juridique (Werro/Perritaz, in Thévenoz/Werro [édit.], Commentaire romand, Code des obligations I, 3e éd., Bâle 2021, n. 56 ad art. 41 CO et réf. cit.). En outre, on considère traditionnellement que la faute représente l’aspect subjectif de la responsabilité alors que l’illicéité en constitue l’aspect objectif (Werro/Perritaz, op. et loc. cit.). Ainsi, à défaut d’illicéité précisée dans l’ordonnance de classement, et de faute possible en raison des faits retenus dans celle-ci, les conditions d’application de l’art. 426 al.</w:t>
      </w:r>
    </w:p>
    <w:p>
      <w:r>
        <w:rPr>
          <w:b/>
        </w:rPr>
        <w:t>E. 3</w:t>
      </w:r>
    </w:p>
    <w:p>
      <w:r>
        <w:t>En définitive, le recours doit être admis et le chiffre III de l’ordonnance réformé dans le sens que les frais de procédure sont laissés à la charge de l’Etat. Les chiffres I et II, non contestés, sont maintenus. Vu l’issue de la cause, les frais de la procédure, constitués du seul émolument d’arrêt, par 540 fr. (art. 20 al. 1 TFIP [[tarif des frais de procédure et indemnités en matière pénale du 28 septembre 2010 ; BLV 312.03.1]), seront laissés à la charge de l’Etat (art. 423 al. 1 CPP). Par ces motifs, le juge unique prononce : I. le recours est admis. II. L’ordonnance est réformée au chiffre III de son dispositif en ce sens que les frais de procédure, par 675 fr., sont laissés à la charge de l’Etat. Elle est maintenue pour le surplus. III. Les frais d’arrêt, par 540 fr. (cinq cent quarante francs), sont laissés à la charge de l’Etat. IV. L’arrêt est exécutoire. La juge unique : La greffière : Du Le présent arrêt, dont la rédaction a été approuvée à huis clos, est notifié, par l'envoi d'une copie complète, à : - Mme A.________, - Ministère public central, et communiqué à : - Mme la Procureure de l’arrondissement du Nord vaudois,</w:t>
      </w:r>
    </w:p>
    <w:p>
      <w:r>
        <w:t>- 8 -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