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PE24.015869 vom 6. März 2025</w:t>
      </w:r>
    </w:p>
    <w:p>
      <w:r>
        <w:t>VD Tribunal cantonal, 2025-03-06, FR</w:t>
      </w:r>
    </w:p>
    <w:p>
      <w:r>
        <w:rPr>
          <w:b/>
        </w:rPr>
        <w:t xml:space="preserve">Quelle: </w:t>
      </w:r>
      <w:r>
        <w:t>https://mcp.opencaselaw.ch/entscheid/vd_gerichte_PE24.015869</w:t>
      </w:r>
    </w:p>
    <w:p>
      <w:r>
        <w:t>FR: VD_GERICHTE PE24.015869 du 6 mars 2025</w:t>
      </w:r>
    </w:p>
    <w:p>
      <w:r>
        <w:t>IT: VD_GERICHTE PE24.015869 del 6 marzo 2025</w:t>
      </w:r>
    </w:p>
    <w:p>
      <w:pPr>
        <w:pStyle w:val="Heading2"/>
      </w:pPr>
      <w:r>
        <w:t>Erwägungen</w:t>
      </w:r>
    </w:p>
    <w:p>
      <w:r>
        <w:rPr>
          <w:b/>
        </w:rPr>
        <w:t>E. 21</w:t>
      </w:r>
    </w:p>
    <w:p>
      <w:r>
        <w:t>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t>- 8 -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2e éd. 2016, n. 13 ad art. 310 CPP), doit être assimilée à un empêchement de procéder au sens de l’art. 310 al. 1 let. b CPP, du moins lorsqu’aucune infraction poursuivie d’office n’est en cause (CREP 2 février 2022/86 consid. 2.2.1 et les réf. cit.). 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Tout au plus son terme est-il reporté au prochain jour ouvrable lorsqu'il tombe un samedi, un dimanche ou un jour férié selon le droit du for (cf. ATF 83 IV 185 ; TF 6B_482/2008 du 26 août 2008 consid. 3.2).</w:t>
      </w:r>
    </w:p>
    <w:p>
      <w:r>
        <w:t>- 9 - 3.2.2 Aux termes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3.2.3 Selon l’art. 123 CP, quiconque, intentionnellement, fait subir à une personne une autre atteinte à l’intégrité corporelle ou à la santé qu’une lésion corporelle grave est puni, sur plainte, d’une peine privative de liberté de trois ans au plus ou d’une peine pécuniaire (ch. 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3.2.4 Selon l’art. 127 CP, se rend coupable d’exposition quiconque, ayant la garde d’une personne hors d’état de se protéger elle-même ou le devoir de veiller sur elle, l’expose à un danger de mort ou à un danger grave et imminent pour la santé, ou l’abandonne en un tel danger. 3.3 En l’espèce, force est de constater que le recourant avait connaissance</w:t>
      </w:r>
    </w:p>
    <w:p>
      <w:r>
        <w:t>- 10 - du placement à des fins d’assistance de B.X.________, des crises d’épilepsie qui s’en sont suivies ainsi que de la prétendue privation de contacts entre ce dernier et le personnel et les résidents de la Fondation [...] au plus tard en août 2023. De même, ses griefs à l’encontre de D.________ concernant la suppression des ateliers et son enfermement ressortent déjà d’un courriel qu’il a lui-même rédigé le 8 mars 2024. Ainsi, sa plainte du 11 juillet 2024 apparaît effectivement tardive sur ces points. Qu’il n’ait eu connaissance des rapports de l’UPPC mentionnant un faible taux de quétiapine que le 20 juin 2024 n’y change rien. La question aurait de toute manière pu rester ouverte. En effet, au-delà du respect du délai de plainte, il y a surtout lieu de constater qu’à l’analyse du dossier, il n’apparait pas que D.________, C.________ ou S.________ auraient adopté un comportement contraire à l’une des dispositions légales citées par le recourant, ni commis une autre infraction. On comprend, à la lecture du dossier, que si D.________ a voulu augmenter le nombre de nuitées passées par B.X.________ à [...], c’est parce que le recourant avait demandé que son fils bénéficie de cinq journées d’activité sur place (P. 5/4, p. 2). L’argument avait donc un fondement cohérent, contrairement à ce que laisse entendre le recourant. Par ailleurs, le placement à des fins d’assistance a été ordonné le 5 mai 2023 à la suite d’un événement lors duquel B.X.________ aurait étranglé une éducatrice, se serait montré agressif envers l’équipe d’encadrement, n’aurait pas pu être raisonné, aurait tapé sur les murs et les fenêtres et montré un haut risque d’hétéro-agressivité, voire d’auto-agressivité (P. 5/2). Certes, il semblerait que le recourant, curateur de portée générale du patient concerné, n’ait pas été consulté dans le cadre de cette décision. Cet élément ne constitue cependant pas une infraction pénale. Au surplus, les échanges écrits entre D.________ et le recourant (P. 5/4) montrent une mésentente, voire un manque de confiance réciproque ; on ne décèle toutefois aucune notion de rétorsion ou de vengeance, contrairement à ce qu’affirme le recourant. Enfin, et comme souligné par le Parquet, les conclusions qui ressortent des rapports de l’UPPC – qui constate un taux très bas de quétiapine peu de temps après son administration – à savoir que « La co-prescription de carbamazépine pourrait expliquer le taux</w:t>
      </w:r>
    </w:p>
    <w:p>
      <w:r>
        <w:t>- 11 - faible de quétiapine, en raison de l’induction enzymatique. Difficile de se prononcer formellement sur l’adhésion médicamenteuse dans ces conditions » ne sont nullement de nature à soupçonner le personnel médical de la Fondation [...] ni de l’hôpital [...] d’avoir violé les règles de l’art ni adopté un comportement constitutif d’une quelconque infraction. Partant, même à considérer le recours recevable, il y aurait lieu de constater que c’est à raison que la Procureure a refusé d’entrer en matière sur la plainte du recourant. 4. En définitive, le recours doit être déclaré irrecevable, sans échange d’écritures (art. 390 al. 2 CPP). Vu le sort du recours, les frais de la présente procédure, constitués du seul émolument d’arrêt, par 1’100 fr. (art. 20 al. 1 TFIP [tarif des frais de procédure et indemnités en matière pénale du 28 septembre 2010 ; BLV 312.03.1]), seront mis à la charge de A.X.________, qui succombe (art. 428 al. 1 CPP). L’avance de frais de 770 fr. (sept cent septante francs) versée par le recourant sera imputée sur ces frais, le solde dû à l’Etat s’élevant à 330 fr. (trois cent trente francs). Par ces motifs, la Chambre des recours pénale prononce : I. Le recours est irrecevable. II. Les frais d’arrêt, par 1’100 fr. (mille cent francs), sont mis à la charge de A.X.________. III. L’avance de frais de 770 fr. (sept cent septante francs) versée par A.X.________ est imputée sur les frais mis à sa charge au chiffre II ci-dessus, le solde dû par le recourant à l’Etat s’élevant à 330 fr. (trois cent trente francs).</w:t>
      </w:r>
    </w:p>
    <w:p>
      <w:r>
        <w:t>- 12 - IV. L’arrêt est exécutoire. Le président : La greffière : Du Le présent arrêt, dont la rédaction a été approuvée à huis clos, est notifié, par l'envoi d'une copie complète, à : - Me Guy Longchamp, avocat (pour A.X.________),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