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PE24.015267 vom 30. August 2024</w:t>
      </w:r>
    </w:p>
    <w:p>
      <w:r>
        <w:t>VD Tribunal cantonal, 2024-08-30, FR</w:t>
      </w:r>
    </w:p>
    <w:p>
      <w:r>
        <w:rPr>
          <w:b/>
        </w:rPr>
        <w:t xml:space="preserve">Quelle: </w:t>
      </w:r>
      <w:r>
        <w:t>https://mcp.opencaselaw.ch/entscheid/vd_gerichte_PE24.015267</w:t>
      </w:r>
    </w:p>
    <w:p>
      <w:r>
        <w:t>FR: VD_GERICHTE PE24.015267 du 30 août 2024</w:t>
      </w:r>
    </w:p>
    <w:p>
      <w:r>
        <w:t>IT: VD_GERICHTE PE24.015267 del 30 agosto 2024</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t>- 4 -</w:t>
      </w:r>
    </w:p>
    <w:p>
      <w:r>
        <w:rPr>
          <w:b/>
        </w:rPr>
        <w:t>E. 1.2</w:t>
      </w:r>
    </w:p>
    <w:p>
      <w:r>
        <w:t>En l’espèce, la Chambre de céans est compétente pour statuer sur la demande de récusation formée par X.________ dès lors qu’elle est dirigée contre une procureure, soit une magistrate du Ministère public.</w:t>
      </w:r>
    </w:p>
    <w:p>
      <w:r>
        <w:rPr>
          <w:b/>
        </w:rPr>
        <w:t>E. 2.1</w:t>
      </w:r>
    </w:p>
    <w:p>
      <w:r>
        <w:t>Le requérant requiert la récusation de la Procureure V.________ au motif que cette magistrate a d’ores et déjà rendu une ordonnance de non-entrée en matière dans une précédente procédure le concernant et relative à des faits similaires (PE23.015096), dans laquelle elle aurait mené l’instruction « de manière fortement discutable […] en raison d’une absence présumée d’impartialité et d’objectivité ».</w:t>
      </w:r>
    </w:p>
    <w:p>
      <w:r>
        <w:rPr>
          <w:b/>
        </w:rPr>
        <w:t>E. 2.2.1</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juridique, sont de nature à la rendre suspecte de prévention.</w:t>
      </w:r>
    </w:p>
    <w:p>
      <w:r>
        <w:rPr>
          <w:b/>
        </w:rPr>
        <w:t>E. 2.2.2</w:t>
      </w:r>
    </w:p>
    <w:p>
      <w:r>
        <w:t>L'art. 56 let. b CPP dispose que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la récusation d’un</w:t>
      </w:r>
    </w:p>
    <w:p>
      <w:r>
        <w:t>- 5 - juge au simple motif qu’il a, dans une procédure antérieure – voire dans la même affaire –, tranché en défaveur du requérant (ATF 143 IV 69 précité ; ATF 129 III 445 consid. 4.2.2.2 ; ATF 114 Ia 278 consid. 1).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1B_194/2016 du 22 juin 2016 consid. 2 in fine ; TF 1B_105/2013 du 21 mai 2013 consid. 2.1 et les réf. cit.; TF 1B_415/2011 du 25 octobre 2011 consid. 2.2 ; CREP 10 décembre 2021/1092 consid. 2.3.2). Seules des circonstances exceptionnelles permettent dans ces cas de justifier une récusation lorsque, par son attitude ou ses déclarations précédentes, le magistrat a clairement fait apparaître qu'il ne sera pas capable d'aborder la seconde procédure avec l'impartialité requise et dans le respect des devoirs de sa charge, respectivement en faisant abstraction des opinions qu'il a précédemment émises en tant qu'autorité d'instruction, puis comme accusateur public (TF 1B_474/2018 du 22 novembre 2018 consid. 3 ; TF 1B_430/2015 du 5 janvier 2016 consid. 3.2, publié in SJ 2017 I 49 ; TF 1B_328/2015 du 11 novembre 2015 consid. 3.2). La jurisprudence exige cependant que l'issue de la seconde cause ne soit pas prédéterminée, mais qu'elle demeure indécise quant à la constatation des faits et à la résolution des questions juridiques (ATF 134 IV 289 consid. 6.2 ; TF 1B_432/2019 du 13 septembre 2019 consid. 3.1). Ainsi, si le Ministère public a employé un ton particulièrement péremptoire, on peut y voir une apparence de prévention (TF 1B_328/2015 du 11 novembre 2015 ; CREP 21 février 2022/128 dans un cas où une procureure avait appliqué l’art. 420 CPP et s’était montrée très sévère envers la plaignante dans son ordonnance de classement, de sorte qu’il avait été considéré qu’elle n’avait plus la distance nécessaire pour se prononcer sur la contre-plainte de la partie adverse).</w:t>
      </w:r>
    </w:p>
    <w:p>
      <w:r>
        <w:t>- 6 -</w:t>
      </w:r>
    </w:p>
    <w:p>
      <w:r>
        <w:rPr>
          <w:b/>
        </w:rPr>
        <w:t>E. 2.2.3</w:t>
      </w:r>
    </w:p>
    <w:p>
      <w:r>
        <w:t>L'art. 56 let. f CPP a la portée d'une clause générale recouvrant tous les motifs de récusation non expressément prévus aux lettres précédentes de l'art. 56 CPP. Cette clause correspond à la garantie d'un tribunal indépendant et impartial instituée par les art. 30 al. 1 Cst. et 6 par. 1 CEDH (Convention de sauvegarde des droits de l’homme et des libertés fondamentales du 4 novembre 1950 ; RS 0.101) (ATF 143 IV 69 précité consid 3.2). Elle concrétise aussi les droits déduits de l'art. 29 al. 1 Cst. (Constitution fédérale de la Confédération suisse du 18 avril 1999 ; RS 101)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Dans ce contexte toutefois, seules des circonstances constatées objectivement doivent être prises en considération, les impressions purement individuelles des parties n'étant pas décisives (ATF 144 I 159 consid. 4.3 ; ATF 142 III 732 consid. 4.2.2 ; TF 7B_317/2024 du 15 mai 2024 consid. 2.1.2). L'impartialité subjective d'un magistrat se présume jusqu'à preuve du contraire (ATF 136 III 605 consid. 3.2.1 ; TF 7B_190/2023 du 14 décembre 2023 consid. 4.1.1).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w:t>
      </w:r>
    </w:p>
    <w:p>
      <w:r>
        <w:t>- 7 - consid. 3.2.3, JdT 2016 IV 247 ; ATF 138 IV 142 consid. 2.3 ; TF 7B_317/2024 précité consid. 2.1.3).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7B_317/2024 précité).</w:t>
      </w:r>
    </w:p>
    <w:p>
      <w:r>
        <w:rPr>
          <w:b/>
        </w:rPr>
        <w:t>E. 2.2.4</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(CREP 9 août 2021/639 consid. 2.2 ; Moreillon/Parein-Reymond, Petit Commentaire du Code de procédure pénale, 2e éd. 2016, nn. 6 et 7 ad art. 58 CPP ; Aubry Girardin, in : Corboz et al. [éd.], Commentaire de la LTF, 2e éd. 2014, nn. 14 et 15 ad art. 36 LTF et réf. cit.).</w:t>
      </w:r>
    </w:p>
    <w:p>
      <w:r>
        <w:rPr>
          <w:b/>
        </w:rPr>
        <w:t>E. 2.3</w:t>
      </w:r>
    </w:p>
    <w:p>
      <w:r>
        <w:t>En l’espèce, l’intéressé se contente d’affirmer que la procureure aurait instruit la précédente affaire en manquant d’impartialité et d’objectivité – sans préciser les éléments qui dénoteraient une quelconque partialité –, et que cette cause serait désormais pendante devant le Tribunal fédéral, autorité qui pourrait constater son éventuelle prévention. Il lui prête une « disposition intérieure présumée défavorable » à son encontre. Ce faisant, il ne rend pas vraisemblable, ni même n’invoque, de circonstance qui serait de nature à rendre plausible une prévention de la part de la procureure à son égard.</w:t>
      </w:r>
    </w:p>
    <w:p>
      <w:r>
        <w:t>- 8 - Force est dès lors de constater que la demande de récusation n’est ni motivée ni étayée, de sorte qu’elle ne satisfait pas aux exigences de motivation requises par la loi (cf. supra consid. 2.2.4), et qu’elle doit être déclarée irrecevable. Par surabondance, on relèvera que le simple fait que la procureure ait, dans une procédure antérieure, refusé d’entrer en matière sur une plainte déposée par le requérant n’est pas de nature à fonder un motif de récusation (cf. supra consid. 2.2.3). Au demeurant, la Chambre de céans ne distingue pas dans l’attitude ou les déclarations précédentes de la magistrate – et le requérant n’invoque pas – d’éléments susceptibles de faire clairement apparaître qu’elle ne serait pas capable d'aborder cette nouvelle procédure avec l'impartialité requise ni d’erreurs particulièrement lourdes ou répétées constitutives de violations graves de ses devoirs de magistrate. Partant, même à la considérer recevable, la demande de récusation serait de toute manière rejetée.</w:t>
      </w:r>
    </w:p>
    <w:p>
      <w:r>
        <w:rPr>
          <w:b/>
        </w:rPr>
        <w:t>E. 3</w:t>
      </w:r>
    </w:p>
    <w:p>
      <w:r>
        <w:t>En définitive, la demande de récusation est irrecevable. Vu l’issue de la cause, les frais de procédure, constitués du seul émolument de décision, par 880 fr. (art. 20 al. 1 TFIP [tarif des frais de procédure et indemnités en matière pénale du 28 septembre 2010 ; BLV 312.03.1], par renvoi de l’art. 22 TFIP), seront mis à la charge du requérant, qui succombe (art. 59 al. 4 CPP). Par ces motifs, la Chambre des recours pénale prononce : I. La demande de récusation est irrecevable.</w:t>
      </w:r>
    </w:p>
    <w:p>
      <w:r>
        <w:t>- 9 - II. Les frais de décision, par 880 fr. (huit cent huitante francs), sont mis à la charge d’X.________. III. La décision est exécutoire. Le président : La greffière : Du La présente décision, dont la rédaction a été approuvée à huis clos, est notifiée, par l'envoi d'une copie complète, à : - X.________,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