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PE24.014080 vom 13. Februar 2025</w:t>
      </w:r>
    </w:p>
    <w:p>
      <w:r>
        <w:t>VD Tribunal cantonal, 2025-02-13, FR</w:t>
      </w:r>
    </w:p>
    <w:p>
      <w:r>
        <w:rPr>
          <w:b/>
        </w:rPr>
        <w:t xml:space="preserve">Quelle: </w:t>
      </w:r>
      <w:r>
        <w:t>https://mcp.opencaselaw.ch/entscheid/vd_gerichte_PE24.014080</w:t>
      </w:r>
    </w:p>
    <w:p>
      <w:r>
        <w:t>FR: VD_GERICHTE PE24.014080 du 13 février 2025</w:t>
      </w:r>
    </w:p>
    <w:p>
      <w:r>
        <w:t>IT: VD_GERICHTE PE24.014080 del 13 febbraio 2025</w:t>
      </w:r>
    </w:p>
    <w:p>
      <w:pPr>
        <w:pStyle w:val="Heading2"/>
      </w:pPr>
      <w:r>
        <w:t>Erwägungen</w:t>
      </w:r>
    </w:p>
    <w:p>
      <w:r>
        <w:rPr>
          <w:b/>
        </w:rPr>
        <w:t>E. 6.1</w:t>
      </w:r>
    </w:p>
    <w:p>
      <w:r>
        <w:t>En tout état de cause, l’appelant conteste l’infraction de tentative de meurtre. Il soutient que même si on devait admettre l’utilisation du couteau, il ne s’agissait que d’un « petit » couteau, et il n’y avait pas eu de blessure. Il plaide en outre la légitime défense, rappelant qu’il avait été « gazé » par la victime. Par ailleurs, il n’aurait jamais eu la volonté de tuer et celle-ci devrait à tout le moins être écartée au bénéfice du doute.</w:t>
      </w:r>
    </w:p>
    <w:p>
      <w:r>
        <w:rPr>
          <w:b/>
        </w:rPr>
        <w:t>E. 6.1.1</w:t>
      </w:r>
    </w:p>
    <w:p>
      <w:r>
        <w:t>et les réf. citées).</w:t>
      </w:r>
    </w:p>
    <w:p>
      <w:r>
        <w:rPr>
          <w:b/>
        </w:rPr>
        <w:t>E. 6.2.1</w:t>
      </w:r>
    </w:p>
    <w:p>
      <w:r>
        <w:t>Aux termes de l’art. 111 CP, se rend coupable de meurtre quiconque tue une personne intentionnellement. Selon l'art. 12 al. 2 CP, agit intentionnellement quiconque commet un crime ou un délit avec conscience et volonté. L'auteur agit déjà intentionnellement lorsqu'il tient pour possible la réalisation de l'infraction et l'accepte pour le cas où celle-ci se produirait (dol éventuel).</w:t>
      </w:r>
    </w:p>
    <w:p>
      <w:r>
        <w:t>- 24 - Le dol éventuel suppose que l'auteur tient pour possible la réalisation de l'infraction mais qu'il agit tout de même, parce qu'il accepte ce résultat pour le cas où il se produirait et s'en accommode, même s'il le juge indésirable et ne le souhaite pas (ATF 147 IV 439 consid. 7.3.1;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 2.5 et les nombreux arrêts cités).</w:t>
      </w:r>
    </w:p>
    <w:p>
      <w:r>
        <w:rPr>
          <w:b/>
        </w:rPr>
        <w:t>E. 6.2.2</w:t>
      </w:r>
    </w:p>
    <w:p>
      <w:r>
        <w:t>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w:t>
      </w:r>
    </w:p>
    <w:p>
      <w:r>
        <w:t>- 25 -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w:t>
      </w:r>
    </w:p>
    <w:p>
      <w:r>
        <w:rPr>
          <w:b/>
        </w:rPr>
        <w:t>E. 6.3</w:t>
      </w:r>
    </w:p>
    <w:p>
      <w:r>
        <w:t>Le tribunal a retenu une tentative de meurtre par dol éventuel, le prévenu ayant tenté de donner des coups de couteau dans l’abdomen de Q.________, acceptant ainsi à tout le moins l’éventualité de lui infliger une blessure mortelle. Compte tenu des faits retenus ci-avant, cette appréciation ne prête pas le flanc à la critique. Les arguments soulevés par l’appelant sont inconsistants. Pour retenir la tentative de meurtre, selon la jurisprudence précitée, il n’y a pas besoin que la victime ait été blessée (cf. TF 6B_465/2024 précité consid. 2.1.1) ; le fait de viser l’abdomen suffit à créer un danger de mort. Quant à l’aspect subjectif, l’appelant n’est pas crédible lorsqu’il nie la volonté de tuer. Il a menacé la victime à plusieurs reprises en lui criant qu’il allait la « tuer » et la « planter » (PV aud. 1) et est apparu « très déterminé à en découdre » aux yeux du témoin T.________ (PV aud. 2, R. 5). Quant à la légitime défense, elle ne peut sérieusement être soutenue. On rappelle que l’appelant a donné le premier coup de poing à la victime, puis a tenté de lui asséner des coups de couteau, avant que celle-ci ne sorte son spray au poivre et en fasse usage (cf. PV aud. 2, R. 5). Quoi qu’il en soit, si l’appelant avait sorti son couteau après que la victime avait utilisé son spray au poivre, comme il le</w:t>
      </w:r>
    </w:p>
    <w:p>
      <w:r>
        <w:t>- 26 - soutient, la proportionnalité ne serait de toute manière pas respectée. L’appelant doit donc être reconnu coupable de tentative de meurtre.</w:t>
      </w:r>
    </w:p>
    <w:p>
      <w:r>
        <w:rPr>
          <w:b/>
        </w:rPr>
        <w:t>E. 7.1</w:t>
      </w:r>
    </w:p>
    <w:p>
      <w:r>
        <w:t>L’appelant conteste également sa condamnation pour tentative d’instigation à faux témoignage et à contrainte. Il dénie toute force probante aux pièces 22 et 23, soit des traductions par une interprète de deux appels téléphoniques passés par l’appelant, et conteste les conditions d’applications des infractions.</w:t>
      </w:r>
    </w:p>
    <w:p>
      <w:r>
        <w:rPr>
          <w:b/>
        </w:rPr>
        <w:t>E. 7.2.1</w:t>
      </w:r>
    </w:p>
    <w:p>
      <w:r>
        <w:t>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n'est en revanche plus possible si l'auteur de l'acte était déjà décidé à le commettre (ATF 128 IV 11 consid. 2a ; ATF 127 IV 122 consid. 2b/aa ; cf. ég. ATF 124 IV 34 consid. 2c et les réf. citées, JdT 2006 IV 140 ; TF 6B_521/2013 du 22 octobre 2014 consid. 5.1).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précité consid. 2a ; TF 6B_521/2013 précité consid. 5.1). Peut être un moyen d'instigation tout comportement propre à susciter chez autrui la</w:t>
      </w:r>
    </w:p>
    <w:p>
      <w:r>
        <w:t>- 27 - décision d'agir, même une simple demande, une suggestion ou une invitation concluante (ATF 128 IV 11 précité consid. 2a ; ATF 127 IV 122 précité consid. 2b/aa et les réf. citées). Pour qu'une instigation puisse être retenue, il faut qu'elle soit intentionnelle. L'intention doit se rapporter, d'une part, à la provocation de la décision de passer à l'acte et, d'autre part, à l'exécution de l'acte par l'instigué (ATF 127 IV 122 précité consid. 4a). Le dol éventuel suffit. Il faut que l'instigateur ait su et voulu ou, à tout le moins, envisagé et accepté que son intervention était de nature à décider l'instigué à commettre l'infraction (ATF 128 IV 11 précité consid. 2a ; TF 6B_721/2020, 6B_730/2020 du 11 février 2021 consid. 5.1).</w:t>
      </w:r>
    </w:p>
    <w:p>
      <w:r>
        <w:rPr>
          <w:b/>
        </w:rPr>
        <w:t>E. 7.2.2</w:t>
      </w:r>
    </w:p>
    <w:p>
      <w:r>
        <w:t>En vertu de l’art. 10 CP, le Code pénal distingue les crimes des délits en fonction de la gravité de la peine dont l’infraction est passible (al. 1). Sont des crimes les infractions passibles d’une peine privative de liberté de plus de trois ans (al. 2). Sont des délits les infractions passibles d’une peine privative de liberté n’excédant pas trois ans ou d’une peine pécuniaire (al. 3).</w:t>
      </w:r>
    </w:p>
    <w:p>
      <w:r>
        <w:rPr>
          <w:b/>
        </w:rPr>
        <w:t>E. 7.2.3</w:t>
      </w:r>
    </w:p>
    <w:p>
      <w:r>
        <w:t>Selon l’art. 307 al. 1 CP, quiconque, étant témoin, expert, traducteur ou interprète en justice, fait une déposition fausse sur les faits de la cause, fournit un constat ou un rapport faux, ou fait une traduction fausse est puni d’une peine privative de liberté de cinq ans au plus ou d’une peine pécuniaire. L'infraction de faux témoignage réprime une mise en danger abstraite de la recherche de la vérité ; il n'est pas nécessaire, pour que l'infraction soit consommée, que le juge ait été influencé (Corboz, Les infractions en droit suisse, 3e éd., vol. Il, Berne 2010, nn. 3-4 ad art. 307 CP). L'infraction réprimée par l'art. 307 CP suppose que l'auteur soit intervenu en l'une des qualités mentionnées par cette disposition, soit comme témoin, expert, traducteur ou interprète ; en particulier, le témoin est une personne physique, distincte des parties, qui, devant une autorité compétente et selon une procédure réglementée, rapporte ce qu'elle a personnellement vécu ou observé, en ayant le devoir de dire la vérité (Corboz, op. cit., n. 6 ad art. 307 CP).</w:t>
      </w:r>
    </w:p>
    <w:p>
      <w:r>
        <w:t>- 28 -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Code pénal, 2e éd., Bâle 2017,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(CAPE 5 novembre 2018/377 consid. 3.1.2).</w:t>
      </w:r>
    </w:p>
    <w:p>
      <w:r>
        <w:rPr>
          <w:b/>
        </w:rPr>
        <w:t>E. 7.2.4</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w:t>
      </w:r>
    </w:p>
    <w:p>
      <w:r>
        <w:rPr>
          <w:b/>
        </w:rPr>
        <w:t>E. 7.3</w:t>
      </w:r>
    </w:p>
    <w:p>
      <w:r>
        <w:t>L’appelant fait valoir à juste titre qu’il doit être libéré de l’infraction de tentative d’instigation à contrainte, dès lors que la tentative d’instigation ne s’envisage que pour les crimes et que la contrainte constitue un délit. En revanche, le faux témoignage est puni d’une peine privative de liberté de cinq ans au plus et constitue donc un crime. Les pièces 22 et 23 contiennent la traduction de la conversation téléphonique litigieuse. L’appelant n’a jamais, en procédure, contesté cette traduction,</w:t>
      </w:r>
    </w:p>
    <w:p>
      <w:r>
        <w:t>- 29 - ou demandé qu’il en soit fait une autre. Il le fait pour la première fois en appel, ce qui est contraire à la bonne foi (cf. supra consid. 3.2). Quoi qu’il en soit, il n’existe aucun indice permettant de mettre en cause la fidélité de cette traduction, qui a été effectuée par une interprète parlant la langue du prévenu et mandatée par le Ministère public. Quant au contenu même de la conversation, celui-ci ne laisse pas de place au doute. L’appelant a essayé d’amener son interlocutrice à dicter à des tiers des témoignages qui lui sont favorables et contraire aux preuves du dossier, au besoin par la menace voilée de représailles physiques lorsqu’il sortira de prison. On relève par ailleurs que l’appelant n’a pas contesté la décision de suspension des appels téléphoniques du 6 septembre 2024 (P. 24). La condamnation pour l’infraction de tentative d’instigation à faux témoignage doit dès lors être confirmée.</w:t>
      </w:r>
    </w:p>
    <w:p>
      <w:r>
        <w:rPr>
          <w:b/>
        </w:rPr>
        <w:t>E. 8.1</w:t>
      </w:r>
    </w:p>
    <w:p>
      <w:r>
        <w:t>L’appelant considère que la peine infligée est « parfaitement excessive ». Il plaide le sursis.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- 30 -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et les réf.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w:t>
      </w:r>
    </w:p>
    <w:p>
      <w:r>
        <w:t>- 31 - aggravantes ou atténuantes. Dans un second temps, il augmentera cette peine pour sanctionner chacune des autres infractions, en tenant là aussi compte de toutes les circonstances y relatives (ATF 144 IV 313 précité consid. 1.1.2).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et les réf. citées).</w:t>
      </w:r>
    </w:p>
    <w:p>
      <w:r>
        <w:rPr>
          <w:b/>
        </w:rPr>
        <w:t>E. 8.3</w:t>
      </w:r>
    </w:p>
    <w:p>
      <w:r>
        <w:t>Les premiers juges ont considéré que la culpabilité du prévenu était lourde, dès lors qu’il s’en était pris au bien juridique le plus précieux pour un motif futile. Il avait en outre tenté d’obtenir un faux témoignage pour dissimuler la vérité, démontrant ainsi une absence totale de prise de conscience, se posant en victime, criant au racisme et au complot. Il avait par ailleurs de nombreux antécédents. A décharge, il a été retenu que le prévenu se trouvait dans une situation personnelle difficile depuis de nombreuses années. Cette appréciation peut être partagée. L’appelant ne démontre aucune prise de conscience de la gravité des actes qu’il a commis et persiste, encore en appel, à se poser en victime. Ses antécédents sont nombreux. S’il se limitait dans un premier temps à des atteintes au patrimoine, il s’en est pris en 2020 à l’intégrité corporelle d’autrui, puis désormais à la vie. Cette gradation est inquiétante et il ne fait aucun doute que seule une peine privative de liberté est susceptible de réprimer les comportements de l’appelant. Pour la tentative de meurtre, c’est une peine privative de liberté de 3 ans qui doit lui être infligée. Par effet du concours, cette peine</w:t>
      </w:r>
    </w:p>
    <w:p>
      <w:r>
        <w:t>- 32 - sera augmentée de 6 mois pour la tentative d’instigation à faux témoignage. La peine sera encore augmentée de 3 mois pour le séjour illégal, étant précisé que l’appelant est en récidive spéciale pour cette infraction et que le cas présent est partiellement antérieur à la dernière condamnation au casier judiciaire. Elle sera enfin augmentée de 3 mois supplémentaire s’agissant du délit à la loi fédérale sur les stupéfiants. Celui-ci, qui s’étend de 2018 à 2024, est partiellement complémentaire à l’ensemble des condamnations figurant au casier judiciaire de l’appelant. En définitive, la peine d’ensemble de 4 ans de privation de liberté doit être confirmée, malgré l’abandon de l’infraction de tentative d’instigation à contrainte. Il n’y a ainsi aucune place pour l’octroi d’un quelconque sursis (cf. art. 42 et 43 CP).</w:t>
      </w:r>
    </w:p>
    <w:p>
      <w:r>
        <w:rPr>
          <w:b/>
        </w:rPr>
        <w:t>E. 9</w:t>
      </w:r>
    </w:p>
    <w:p>
      <w:r>
        <w:t>Conformément à l’art. 51 CP, la détention subie par L.________ depuis le jugement de première instance sera déduite de la peine privative de liberté prononcée. Le maintien de l’appelant en détention pour des motifs de sûreté sera en outre ordonné, vu le risque de fuite qu’il présente (art. 221 al. 1 let. a CPP).</w:t>
      </w:r>
    </w:p>
    <w:p>
      <w:r>
        <w:rPr>
          <w:b/>
        </w:rPr>
        <w:t>E. 10.1</w:t>
      </w:r>
    </w:p>
    <w:p>
      <w:r>
        <w:t>L’appelant conclut à ce qu’il soit renoncé à son expulsion, sans aucunement motiver son grief.</w:t>
      </w:r>
    </w:p>
    <w:p>
      <w:r>
        <w:rPr>
          <w:b/>
        </w:rPr>
        <w:t>E. 10.2</w:t>
      </w:r>
    </w:p>
    <w:p>
      <w:r>
        <w:t>L’infraction de tentative de meurtre entre dans le catalogue des cas d’expulsions obligatoires (art. 66a al. 1 let. a CP).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w:t>
      </w:r>
    </w:p>
    <w:p>
      <w:r>
        <w:t>- 33 -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w:t>
      </w:r>
    </w:p>
    <w:p>
      <w:r>
        <w:t>- 34 -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10.3</w:t>
      </w:r>
    </w:p>
    <w:p>
      <w:r>
        <w:t>Le meurtre constitue un cas d’expulsion obligatoire (art. 66a al. 1 let. a CP). Le fait que l’infraction soit demeurée au stade de la tentative ni change rien (cf. FF 2013 5373, p. 5416). Les premiers juges ont écarté à bon droit l’application de la clause de rigueur (cf. jugement, p. 18), étant donné la gravité des faits pour lesquels l’appelant est condamné, ses nombreux antécédents ainsi que son absence d’attache familiale et professionnelle avec la Suisse, pays dans lequel il vit de surcroît illégalement depuis le rejet de sa demande d’asile déposée en 2017 ou 2018. En outre, l’appelant a déclaré qu’il envisageait de quitter la Suisse à l’issue de son incarcération. A l’inverse, sa réintégration au Maroc</w:t>
      </w:r>
    </w:p>
    <w:p>
      <w:r>
        <w:t>- 35 - est possible, dès lors qu’il y a suivi l’essentiel de sa scolarité et y a toujours de la famille. De toute manière, au vu de la gravité des faits, l’intérêt public à l’expulsion doit primer l’intérêt privé de l’appelant à rester en Suisse. La durée de 10 ans retenue par les premiers juges est adéquate et peut être confirmée, tout comme l’inscription de l’expulsion au fichier SIS.</w:t>
      </w:r>
    </w:p>
    <w:p>
      <w:r>
        <w:rPr>
          <w:b/>
        </w:rPr>
        <w:t>E. 11</w:t>
      </w:r>
    </w:p>
    <w:p>
      <w:r>
        <w:t>Enfin, l’appelant demande une réduction des frais de première instance mis à sa charge en se fondant sur la prémisse qu’il sera partiellement acquitté. La condamnation et la peine infligée ayant été confirmées, il n’y a pas lieu de laisser une part des frais de première instance à la charge de l’Etat, ce d’autant que l’appelant ne le demande pour la première fois qu’en appel seulement. La libération très secondaire de l’infraction de tentative d’instigation à contrainte pour des motifs juridiques ne permet pas de changer ce constat.</w:t>
      </w:r>
    </w:p>
    <w:p>
      <w:r>
        <w:rPr>
          <w:b/>
        </w:rPr>
        <w:t>E. 12</w:t>
      </w:r>
    </w:p>
    <w:p>
      <w:r>
        <w:t>En définitive, l’appel doit être partiellement admis, le jugement entrepris étant réformé dans le sens des considérants qui précèdent. Il convient d’arrêter l’indemnité du défenseur d’office de l’appelant, Me Jean-Nicolas Roud. Celui-ci a produit une liste d’opérations (P. 70) dans laquelle il a annoncé avoir consacré 17h54 au mandat. Il n’y a pas lieu de s’écarter de cette liste, sauf à ajouter la durée de l’audience d’appel de 1h40. Au tarif horaire de 180 fr., l’indemnité de défenseur d'office qui doit être allouée pour la procédure d'appel s’élève à 4'142 fr. 85, soit des honoraires de 3'522 fr., auxquels s’ajoutent les débours forfaitaires de 2 %, par 70 fr. 45, deux vacations à 120 fr. et la TVA sur le tout, par 310 fr. 45. Vu l’issue de la cause, les frais d’appel, par 7’592 fr. 85, constitués en l’espèce des émoluments de jugement et d’audience, par 3'450 fr. (art. 21 al. 1 et 2 TFIP [tarif des frais de procédure et indemnités en matière pénale du 28 septembre 2010 ; BLV 312.03.1]), ainsi que de</w:t>
      </w:r>
    </w:p>
    <w:p>
      <w:r>
        <w:t>- 36 - l'indemnité allouée au défenseur d'office, par 4'142 fr. 85, seront mis par neuf dixièmes, soit 6'833 fr. 55, à la charge d’L.________ (art. 428 al. 1 CPP), le solde étant laissé à la charge de l’Etat. L.________ ne sera tenu de rembourser à l’Etat les neuf dixièmes du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