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PE24.013940 vom 6. August 2024</w:t>
      </w:r>
    </w:p>
    <w:p>
      <w:r>
        <w:t>VD Tribunal cantonal, 2024-08-06, FR</w:t>
      </w:r>
    </w:p>
    <w:p>
      <w:r>
        <w:rPr>
          <w:b/>
        </w:rPr>
        <w:t xml:space="preserve">Quelle: </w:t>
      </w:r>
      <w:r>
        <w:t>https://mcp.opencaselaw.ch/entscheid/vd_gerichte_PE24.013940</w:t>
      </w:r>
    </w:p>
    <w:p>
      <w:r>
        <w:t>FR: VD_GERICHTE PE24.013940 du 6 août 2024</w:t>
      </w:r>
    </w:p>
    <w:p>
      <w:r>
        <w:t>IT: VD_GERICHTE PE24.013940 del 6 agosto 2024</w:t>
      </w:r>
    </w:p>
    <w:p>
      <w:pPr>
        <w:pStyle w:val="Heading2"/>
      </w:pPr>
      <w:r>
        <w:t>Volltext</w:t>
      </w:r>
    </w:p>
    <w:p>
      <w:r>
        <w:t>TRIBUNAL CANTONAL 566 PE24.013940-AKA CHAMBRE DE S RECO URS PEN ALE __________________________________________ Arrêt du 6 août 2024 __________________ Composition : M. KRIEGER, président Mmes Fonjallaz et Byrde, juges Greffier : M. Cornuz ***** Art. 382, 385 CPP Statuant sur le recours interjeté le 15 juillet 2024 par X.________ contre l’ordonnance de non-entrée en matière rendue le 5 juillet 2024 par le Ministère public de l’arrondissement de Lausanne dans la cause n° PE24.013940-AKA, la Chambre des recours pénale considère : En fait : A. a) Le 31 janvier 2024, X.________ a déposé une plainte pénale, dans laquelle elle a exposé ce qui suit : Ayant emménagé le 15 décembre 2020 avec son époux dans un appartement situé à Aigle, sur la base d’un contrat de bail à son nom et à celui de son frère, qui s’était porté garant (par l’intermédiaire de la 351</w:t>
      </w:r>
    </w:p>
    <w:p>
      <w:r>
        <w:t>- 2 - société SC, SwissCaution SA), elle aurait demandé à plusieurs reprises à sa gérance (O.________) de lui faire parvenir l’état des lieux d’entrée réalisé, sans que la gérance n’y donne suite. Au moment de quitter le logement, à fin avril 2023, un état des lieux de sortie aurait été dressé, répertoriant quelques dégâts commis pendant la location. Malgré plusieurs demandes, la gérance ne lui aurait jamais fait parvenir cet état des lieux de sortie. Un ou deux mois plus tard, elle ou son frère aurait reçu des factures établies par la gérance relatives à des travaux de réfection dans l’appartement. Le 7 décembre 2023, elle aurait en outre reçu une facture de SC, SwissCaution SA indiquant qu’un montant de 1'963 fr. 60 avait été versé à la gérance pour payer la réparation des dégâts causés dans le logement et qu’elle devait leur rembourser cette somme. Etonnée, X.________ aurait contacté SC, SwissCaution SA, qui lui aurait déclaré qu’ils avaient reçu un document signé par la gérance et par elle-même mentionnant une acceptation de paiement de la facture relative aux dégâts. Ayant reçu une copie de ce document – en l’occurrence le certificat original de garantie de loyer, mentionnant que les parties, par leurs signatures, demandaient à SC, SwissCaution SA le versement au bailleur du montant de 1'963 fr. 60 –, qu’elle n’aurait jamais vu auparavant, pas plus que son frère, elle aurait constaté que sa signature (supposément apposée le 14 novembre 2023) aurait été imitée, et SC, SwissCaution SA lui aurait alors conseillé de déposer plainte. A l’appui de sa plainte, X.________ a produit une copie de ses échanges avec SC, SwissCaution SA ainsi que du document litigieux. b) D’après les informations recueillies par la police, Q.________, employé de la gérance O.________, aurait expliqué qu’un état des lieux de sortie avait été dressé le 1e mai 2023 au moment du départ de X.________ de son logement, mentionnant un certain nombre de dégâts, que X.________ n’aurait reconnus qu’en partie. Malgré cela, elle aurait tout de même signé, de manière électronique, l’état des lieux de sortie. Quant au certificat original de garantie de loyer mentionnant que les parties, par leurs signatures, demandaient à SC, SwissCaution SA le versement au bailleur du montant de 1'963 fr. 60, X.________ l’aurait également signé le</w:t>
      </w:r>
    </w:p>
    <w:p>
      <w:r>
        <w:t>- 3 - 1e mai 2023, mais sans qu’aucun montant ou date n’y figure encore à ce moment-là. Il s’agirait là d’une méthode employée par les gérances pour se prémunir des mauvais payeurs, consistant à demander aux locataires sortants de signer ce genre de document sur la base d’une estimation du montant relatif aux rénovations à effectuer. C’est ainsi Q.________ lui- même qui aurait daté le document litigieux et qui y aurait ajouté concrètement le montant de 1'963 fr. 60, sous la signature préalablement apposée par X.________. c) Le 29 mai 2024, X.________ a été auditionnée par la police, en qualité de prévenue de tentative d’induction de la justice en erreur, pour avoir, dans sa plainte pénale, dénoncé une infraction qu’elle savait inexistante (imitation par un tiers de sa signature sur le certificat original de garantie de loyer). Elle a expliqué qu’elle n’avait en réalité jamais demandé à la gérance de lui faire parvenir l’état des lieux d’entrée, puisqu’elle n’en avait pas eu besoin à l’époque. S’agissant de l’état des lieux de sortie, elle a confirmé l’avoir signé (électroniquement) le 1e mai 2023, même si elle n’était pas d’accord avec certains des dégâts relevés par la gérance. S’agissant par contre du certificat original de garantie de loyer, elle a maintenu ne pas l’avoir signé elle-même, précisant qu’elle n’aurait jamais apposé sa signature sur ce document avant inscription du montant de 1’963 fr. 60. B. Par ordonnance du 5 juillet 2024, le Ministère public de l’arrondissement de Lausanne (ci-après le Ministère public) a refusé d’entrer en matière tant sur la plainte de X.________ que sur la dénonciation visant celle-ci pour tentative d’induction de la justice en erreur (I) et a laissé les frais à la charge de l’Etat (II). Le procureur a estimé, s’agissant de la plainte déposée par X.________, que l’enquête n’avait pas permis d’établir avec certitude si la signature figurant sur le certificat original de garantie de loyer était celle de l’intéressée ou celle d’un tiers, relevant qu’une expertise en écriture pourrait certes être mise en œuvre, mais que le coût d’une telle démarche serait hors de toute proportion vu les faits de la cause. Considérant qu’aucune mesure d’instruction proportionnée n’était susceptible d’être</w:t>
      </w:r>
    </w:p>
    <w:p>
      <w:r>
        <w:t>- 4 - mise en œuvre pour déterminer l’auteur de la signature en question, il a renoncé à entrer en matière. En ce qui concerne la tentative d’induire la justice en erreur reprochée à X.________, le Ministère public a relevé que, selon les explications de Q.________, le document incriminé aurait été signé par X.________, mais qu’aucune date ou montant n’aurait été apposé sur ledit document par celle-ci, puisque c’est lui-même qui aurait daté et inscrit le montant de 1'963 fr. 60 sur le certificat original de garantie de loyer de SC, SwissCaution SA. Ainsi, le procureur a estimé qu’il n’y avait pas de soupçons suffisants selon lesquels X.________ aurait tenté d’induire la justice en erreur pour entrer en matière sur la dénonciation la visant. C. Par acte du 15 juillet 2024, X.________ a recouru auprès de l’autorité de céans contre cette ordonnance. Il n’a pas été ordonné d’échange d’écritures.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w:t>
      </w:r>
    </w:p>
    <w:p>
      <w:r>
        <w:t>- 5 -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12 avril 2024/277 consid. 1.2 ; CREP 8 avril 2024/262 et les références citées).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w:t>
      </w:r>
    </w:p>
    <w:p>
      <w:r>
        <w:t>- 6 - juillet 2021 consid. 2.4 ; TF 6B_510/2020 du 15 septembre 2020 consid. 2.2 et les références citées). 1.3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7B_12/2021 du 11 septembre 2023).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(ATF 145 IV 161 précité ; TF 7B_12/2021 précité consid. 2.2.3). Le recourant doit ainsi établir que la décision attaquée viole une règle de droit qui a pour but de protéger ses intérêts et qu'il peut en conséquence en déduire un droit subjectif (ATF 145 IV 161 précité ; TF 7B_12/2021 précité ; Calame, in : Commentaire romand, Code de procédure pénale suisse (CR CPP), 2e éd., Bâle, 2019, n. 2 ad art. 382 CPP). Une partie qui n'est pas concrètement lésée par la décision ne possède donc pas la qualité pour recourir et son recours doit être déclaré irrecevable (ATF 144 IV 81 consid. 2.3.1 ; TF 7B_51/2024 du 25 avril 2024 consid. 2.2.1).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CR CPP, n. 4 ad art. 382 CPP ; Lieber, in :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w:t>
      </w:r>
    </w:p>
    <w:p>
      <w:r>
        <w:t>- 7 - juridique (Calame, in : CR CPP, n. 4 ad art. 382 CPP ; Lieber in : Kommentar zur Schweizerischen Strafprozessordnung, n. 9 ad art. 382 StPO). Elle n'est donc pas susceptible d'être entreprise par un recours (TF 1B_188/2018 du 3 septembre 2018 consid. 1.3 et les références citées ; CREP 11 avril 2023/296 consid. 1.2 et la référence citée). 2. X.________ formule son recours de la manière suivante : « Par la présente lettre, je fais opposition catégorique à votre décision de non entrée en matière. J’ai porté plainte pour un document Swisscaution qui a été signé à mon nom et avec une fausse signature et je perçois dans votre décision finale que vous m’accusez de vouloir induire la justice en erreur pour 2000CHF. La situation n’est pas traitée, mais au contraire me met dans une position d’autant plus défavorisante qu’avant. ». 2.1 La plainte de X.________ S’agissant du volet relatif à sa plainte, X.________ ne démontre aucunement, en s’appuyant sur les motifs de l’ordonnance attaquée, en quoi il se justifierait – sous l’angle des faits ou du droit – qu’une décision différente soit rendue. Dans sa contestation toute générale de l’ordonnance querellée, elle ne met pas en avant le fait qu’une instruction pourrait permettre d’aller plus avant dans le traitement de sa plainte, ni ne requiert aucune mesure en ce sens. X.________ ne démontre ainsi pas que sa thèse l’emporterait sur celle de la décision attaquée et ne met pas en exergue les failles qu’elle décèlerait dans le raisonnement du Ministère public. Il s’ensuit que le recours ne satisfait pas aux exigences de motivation prescrites par l’art. 385 al. 1 CPP et doit être déclaré irrecevable sur ce point. 2.2 La dénonciation visant X.________ En ce qui concerne la dénonciation dirigée contre X.________ pour tentative d’induction de la justice en erreur, on ne voit pas quel serait son intérêt juridiquement protégé à l'annulation ou à la modification de la décision entreprise, et l’intéressée – qui bénéficie d’une non-entrée en</w:t>
      </w:r>
    </w:p>
    <w:p>
      <w:r>
        <w:t>- 8 - matière – n’en allègue d’ailleurs pas. Si la motivation de la décision, qui mentionne les faits qui lui ont été reprochés, peut la présenter sous un jour défavorable, le dispositif de l’ordonnance se borne à exposer que le Ministère public n’entre pas en matière. La recourante n’apparaît ainsi pas touchée directement et immédiatement dans ses droits propres. Partant, à défaut d’intérêt juridiquement protégé à l'annulation ou à la modification de la décision au sens de l’art. 382 al. 1 CPP, le recours est ici aussi irrecevable. 3. En définitive, le recours doit être déclaré irrecevable sans échange d’écritures (art. 390 al. 2 CPP). Les frais de la procédure de recours, constitués en l’espèce de l’émolument d’arrêt par 770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770 fr. (sept cent septante francs), sont laissés à la charge de l’Etat. III. L’arrêt est exécutoire. Le président : Le greffier : Du Le présent arrêt, dont la rédaction a été approuvée à huis clos, est notifié, par l'envoi d'une copie complète, à : - X.________,</w:t>
      </w:r>
    </w:p>
    <w:p>
      <w:r>
        <w:t>- 9 - - Ministère public central ; et communiqué à : ‑ M. le Procureur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