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PE24.013868 vom 20. Mai 2025</w:t>
      </w:r>
    </w:p>
    <w:p>
      <w:r>
        <w:t>VD Tribunal cantonal, 2025-05-20, FR</w:t>
      </w:r>
    </w:p>
    <w:p>
      <w:r>
        <w:rPr>
          <w:b/>
        </w:rPr>
        <w:t xml:space="preserve">Quelle: </w:t>
      </w:r>
      <w:r>
        <w:t>https://mcp.opencaselaw.ch/entscheid/vd_gerichte_PE24.013868</w:t>
      </w:r>
    </w:p>
    <w:p>
      <w:r>
        <w:t>FR: VD_GERICHTE PE24.013868 du 20 mai 2025</w:t>
      </w:r>
    </w:p>
    <w:p>
      <w:r>
        <w:t>IT: VD_GERICHTE PE24.013868 del 20 maggio 2025</w:t>
      </w:r>
    </w:p>
    <w:p>
      <w:pPr>
        <w:pStyle w:val="Heading2"/>
      </w:pPr>
      <w:r>
        <w:t>Erwägungen</w:t>
      </w:r>
    </w:p>
    <w:p>
      <w:r>
        <w:rPr>
          <w:b/>
        </w:rPr>
        <w:t>E. 22</w:t>
      </w:r>
    </w:p>
    <w:p>
      <w:r>
        <w:t>heures et 35 minutes après déduction du temps consacré à ses deux auditions, soit moins d’un jour, une réparation correspondant à 200 fr., doit être allouée au recourant. Aucune circonstance particulière ne justifie de s’écarter du forfait par jour arrêté par le Tribunal fédéral et le recourant n’en allègue au demeurant pas. 4. En définitive, le recours doit être partiellement admis et l’ordonnance entreprise réformée au chiffre II de son dispositif en ce sens qu’une indemnité au sens de l’art. 429 al. 1 let. c CPP d’un montant de 200 fr. est allouée à S.________, à la charge de l’Etat. L’ordonnance sera confirmée pour le surplus. La liste des opérations produite par Me Jean-Nicolas Roud le 19 mai 2025 fait état de 4.60 heures d’activité d’avocat consacrées à la présente procédure de recours. Cette durée est excessive compte tenu de l’objet du recours, du mémoire déposé, lequel reprend en grande partie l’écriture du 9 octobre 2024, et de l’absence de déterminations du Ministère public. Deux heures apparaissent suffisantes pour effectuer toutes les opérations nécessaires dans le cadre de la procédure de recours. L’indemnité d’office qui sera allouée à Me Jean-Nicolas Roud sera ainsi arrêtée à 360 fr., montant correspondant à deux heures d’activité nécessaire d’avocat au tarif horaire de 180 fr., à des débours forfaitaires, par 7 fr. 20, et à la TVA au taux de 8,1 %, par 29 fr. 75, soit à 397 fr. au total en chiffres arrondis. Vu le sort du recours, les frais de la procédure, constitués en l’espèce de l’émolument d'arrêt, par 900 fr. (art. 20 al. 1 TFIP [Tarif des frais de procédure et indemnités en matière pénale du 28 septembre 2010 ; BLV 312.03.1]), et des frais imputables à la défense d’office de S.________ (art. 422 al. 1 et 2 let. a CPP), fixés à 397 fr., seront mis par trois quarts,</w:t>
      </w:r>
    </w:p>
    <w:p>
      <w:r>
        <w:t>- 11 - soit par 972 fr. 75, à la charge du recourant qui succombe dans une large mesure, le solde étant laissé à la charge de l’Etat (art. 428 al. 1 CPP). Le remboursement à l’Etat des trois quarts de l’indemnité allouée au défenseur d’office du recourant, soit 297 fr., ne sera toutefois exigible que pour autant que la situation financière de celui-ci le permette (art. 135 al. 4 CPP). Par ces motifs, le Juge unique prononce : I. Le recours est partiellement admis. II. L’ordonnance du 17 décembre 2024 est réformée au chiffre II de son dispositif comme suit : « II. alloue à S.________ une indemnité au sens de l’art. 429 al. 1 let. c CPP de 200 fr. (deux cents francs), à la charge de l’Etat ». L’ordonnance est confirmée pour le surplus. III. L’indemnité allouée au défenseur d’office de S.________ est fixée à 397 fr. (trois cent nonante-sept francs). IV. Les frais d’arrêt, par 900 fr. (neuf cents francs), ainsi que l’indemnité due au défenseur d’office de S.________, par 397 fr. (trois cent nonante-sept francs), sont mis par trois quarts à la charge de S.________, soit par 972 fr. 75 (neuf cent septante- deux francs et septante-cinq centimes), le solde étant laissé à la charge de l’Etat. V. Le remboursement à l’Etat des trois quarts de l’indemnité allouée au chiffre III ci-dessus, soit 297 fr. (deux cent nonante- sept francs) ne sera exigible que pour autant que la situation financière de S.________ le permette.</w:t>
      </w:r>
    </w:p>
    <w:p>
      <w:r>
        <w:t>- 12 - VI. L’arrêt est exécutoire. Le juge unique : La greffière : Du Le présent arrêt, dont la rédaction a été approuvée à huis clos, est notifié, par l'envoi d'une copie complète, à : - Me Jean-Nicolas Roud, avocat (pour S.________), - M. N.________, - Mme G.________, et communiqué à :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