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PE24.013628 vom 30. Mai 2025</w:t>
      </w:r>
    </w:p>
    <w:p>
      <w:r>
        <w:t>VD Tribunal cantonal, 2025-05-30, FR</w:t>
      </w:r>
    </w:p>
    <w:p>
      <w:r>
        <w:rPr>
          <w:b/>
        </w:rPr>
        <w:t xml:space="preserve">Quelle: </w:t>
      </w:r>
      <w:r>
        <w:t>https://mcp.opencaselaw.ch/entscheid/vd_gerichte_PE24.013628</w:t>
      </w:r>
    </w:p>
    <w:p>
      <w:r>
        <w:t>FR: VD_GERICHTE PE24.013628 du 30 mai 2025</w:t>
      </w:r>
    </w:p>
    <w:p>
      <w:r>
        <w:t>IT: VD_GERICHTE PE24.013628 del 30 maggio 2025</w:t>
      </w:r>
    </w:p>
    <w:p>
      <w:pPr>
        <w:pStyle w:val="Heading2"/>
      </w:pPr>
      <w:r>
        <w:t>Erwägungen</w:t>
      </w:r>
    </w:p>
    <w:p>
      <w:r>
        <w:rPr>
          <w:b/>
        </w:rPr>
        <w:t>E. 1</w:t>
      </w:r>
    </w:p>
    <w:p>
      <w:r>
        <w:t>CPP), de sorte qu’il est recevable.</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dans le délai légal, auprès de l’autorité compétente et dans les formes prescrites (art. 385 al.</w:t>
      </w:r>
    </w:p>
    <w:p>
      <w:r>
        <w:rPr>
          <w:b/>
        </w:rPr>
        <w:t>E. 2</w:t>
      </w:r>
    </w:p>
    <w:p>
      <w:r>
        <w:t>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w:t>
      </w:r>
    </w:p>
    <w:p>
      <w:r>
        <w:t>- 6 -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se plaint de la violation de l’art. 310 al. 1 let. a CPP. Il soutient que la procureure a fait application du principe « in dubio pro reo », en lieu et place du principe « in dubio pro duriore » qui trouve à s’appliquer à ce stade de la procédure. Il conteste aussi l’affirmation du Ministère public selon laquelle aucune mesure d’enquête ne serait susceptible d’apporter des éléments complémentaires.</w:t>
      </w:r>
    </w:p>
    <w:p>
      <w:r>
        <w:rPr>
          <w:b/>
        </w:rPr>
        <w:t>E. 3.2.1</w:t>
      </w:r>
    </w:p>
    <w:p>
      <w:r>
        <w:t>Commet un abus de confiance au sens de l’art. 138 ch. 1 CP quiconque, pour se procurer ou procureur à un tiers un enrichissement illégitime, s’approprie une chose mobilière appartenant à autrui et qui lui a été confiée (al. 1), quiconque, sans droit, emploie à son profit ou au profit d’un tiers des valeurs patrimoniales qui lui ont été confiées (al. 2). Les éléments constitutifs objectifs de l’infraction d’abus de confiance sont au nombre de quatre, à savoir un auteur à qui une chose mobilière ou une valeur patrimoniale a été confiée (a), l’objet de l’infraction qui peut consister en une chose mobilière confiée ou des valeurs patrimoniales confiées (b), un acte d’appropriation portant sur la chose confiée, respectivement le fait d’utiliser sans droit</w:t>
      </w:r>
    </w:p>
    <w:p>
      <w:r>
        <w:t>- 7 - les valeurs patrimoniales confiées (e) et un dommage (d) (Dupuis et alii, Petit commentaire du Code pénal, 2e éd. 2017, nn. 8 et 22 ad art. 138 CP). Cette infraction est intentionnelle et l’auteur doit agir dans un dessein d’enrichissement illégitime, ces deux conditions pouvant être réalisées par dol éventuel (Dupuis et alii, op. cit., nn. 43 ss ad art. 138 CP et les références citées). La jurisprudence définit la chose confiée comme une chose remise ou laissée à l’auteur, en vertu d’un accord ou d’un autre rapport juridique, pour qu’il l’utilise de manière déterminée dans l’intérêt d’autrui, en particulier pour la conserver, l’administrer ou la livrer, selon les termes exprès ou tacites du rapport de confiance (ATF 133 IV 21 consid. 6.2; Dupuis et alii, op. cit., n. 12 ad art. 138 CP). Ce que l’auteur reçoit pour lui-même et non en vue de le restituer ou de le transférer à un tiers ne peut être l’objet d’un abus de confiance (Dupuis et alii, op. cit., n. 15 ad art. 138 CP et les références citées).</w:t>
      </w:r>
    </w:p>
    <w:p>
      <w:r>
        <w:rPr>
          <w:b/>
        </w:rPr>
        <w:t>E. 3.2.2</w:t>
      </w:r>
    </w:p>
    <w:p>
      <w:r>
        <w:t>Aux termes de l’art. 181 CP, se rend coupable de contrainte et est puni d’une peine privative de liberté de trois ans au plus ou d’une peine pécuniaire, quiconque, en usant de violence envers une personne ou en la menaçant d’un dommage sérieux, ou en l’entravant de quelque autre manière dans sa liberté d’action, l’oblige à faire, à ne pas faire ou à laisser faire un acte. Alors que la violence consiste dans l’emploi d’une force physique d’une certaine intensité à l’encontre de la victime (ATF 101 IV 42 consid. 3a ; TF 6B_1082/2021 du 18 mars 2022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w:t>
      </w:r>
    </w:p>
    <w:p>
      <w:r>
        <w:t>- 8 -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précité consid. 1a ; ATF 120 IV 17 précité consid. 2a/aa).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6B_637/2022 du 29 septembre 2022 consid. 5.1.2 ; TF 6B_1396/2021 du 28 juin 2022 consid. 3.1).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précité consid. 3.2.1 ; ATF 137 IV 326 précité consid. 3.3.1 ; TF 6B_138/2023 du 18 octobre 2023 consid. 3. 1). Savoir si la restriction de la liberté d’action constitue une contrainte illicite dépend ainsi de l’ampleur de l’entrave, de la nature des moyens employés à la réaliser et des objectifs visés par l’auteur (ATF 129 IV 262 consid 2.1 ; ATF 129 IV 6 consid. 3.4 ; TF 6B_1238/2023 du 21 mars 2024 consid. 1.1.2). Ainsi, réclamer le paiement d’une créance ou menacer de déposer une plainte pénale constituent en principe des actes licites. Il en découle que celui qui, étant victime d’une infraction, menace de déposer</w:t>
      </w:r>
    </w:p>
    <w:p>
      <w:r>
        <w:t>- 9 -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précité consid. 2a/bb ; ATF 115 IV 207 consid. 2b/cc). A l’instar du dépôt d’une plainte pénale, la notification d’un commandement de payer est licite lorsqu’on est fondé à réclamer une somme. En revanche, utiliser un tel procédé comme moyen de pression est clairement abusif, donc illicite (ATF 115 III 18 consid. 3 ; TF 6B_1116/2021 du 22 juin 2022 consid. 2.1 ; TF 6B_1082/2021 précité consid. 2.1 ; TF 6B_124/2017 du 27 octobre 2017 consid. 2.1).</w:t>
      </w:r>
    </w:p>
    <w:p>
      <w:r>
        <w:rPr>
          <w:b/>
        </w:rPr>
        <w:t>E. 3.3.1</w:t>
      </w:r>
    </w:p>
    <w:p>
      <w:r>
        <w:t>En l’espèce, compte tenu du contentieux qui divise possiblement les parties en rapport avec l’ex-épouse de B.________, avec laquelle, selon les dires de celui-ci, E.________ entretiendrait une relation sentimentale, que l’intéressé conteste cependant, tout en reconnaissant maintenir des contacts avec celle-ci qui serait sa comptable, les déclarations des uns et des autres doivent être appréhendées avec la plus grande circonspection. Par ailleurs, le fait que le plaignant ait attendu près de deux ans pour réclamer des comptes à E.________ interpelle aussi. Toutefois, on ne saurait, à l’instar de la procureure, prendre comme argent comptant les déclarations d’E.________. Comme le démontre le recourant, E.________ s’est contredit au sujet de la vente du petit meuble qu’il a reconnue. En effet, dans la lettre qu’il a adressée au plaignant le 6 janvier 2024, il a expliqué qu’il avait pu, par hasard, vendre la petite table du salon et qu’il en avait reversé la totalité du prix de vente au plaignant, tandis qu’aux policiers qui l’interrogeaient, il a déclaré qu’il avait réussi à vendre un guéridon au prix de 800 fr., dont une partie avait servi à défrayer les personnes qui lui avaient donné un coup de main, le solde ayant été remis au plaignant. Au-delà de cette incohérence, le caractère éventuellement bien-fondé de l’accusation dépendra de la</w:t>
      </w:r>
    </w:p>
    <w:p>
      <w:r>
        <w:t>- 10 - question de savoir si les meubles qui ont été confiés à E.________ conservaient encore une valeur vénale significative ou non. A ce sujet, Q.________ a mentionné l’existence d’une chambre à coucher que B.________ aurait acquise pour la somme de 20’000 fr. et le plaignant a produit une facture établie le 7 mars 2016 par le magasin Pfister au sujet d’un tel équipement pour le prix de 22’296 fr. 75 (P. 8/1). L’on peine à croire que ce mobilier, réputé de qualité, ait perdu toute valeur marchande en l’espace de quelque six années. Certes, E.________ soutient que les meubles de B.________ étaient « pourris », « abîmés » et « remplis de bêtes », mais si tel était véritablement le cas, on ignore pour quelle raison il aurait pris la peine de solliciter diverses sociétés, afin d’obtenir une estimation de la valeur de reprise de ces biens. Il apparaît donc qu’en l’état, il n’est pas possible d’affirmer, de manière catégorique, qu’E.________ ne se serait pas approprié des biens appartenant à B.________, respectivement le prix possiblement obtenu de la vente de ceux-ci. Il revient donc au Ministère public d’ouvrir une instruction et d’instruire la cause, en mettant en œuvre les mesures d’enquête complémentaires utiles, notamment aux fins de déterminer la valeur des biens qu’E.________ a enlevés de la villa du plaignant. A cet égard, les auditions, en qualité de témoins, de [...] (ex-épouse du plaignant), voire des acquéreurs de la villa qui auraient, toujours si l’on croit E.________, repris un certain nombre de biens à titre gratuit, doivent être envisagées. De même, les personnes engagées pour débarrasser les meubles pourraient être auditionnées, afin de déterminer si les objets/meubles ont été acheminés vers un dépôt (celui d’E.________) ou à la déchèterie.</w:t>
      </w:r>
    </w:p>
    <w:p>
      <w:r>
        <w:rPr>
          <w:b/>
        </w:rPr>
        <w:t>E. 3.3.2</w:t>
      </w:r>
    </w:p>
    <w:p>
      <w:r>
        <w:t>S’agissant de l’infraction de contrainte ou de tentative de contrainte, on ne saurait également suivre le raisonnement de la procureure. En effet, lors de son interrogatoire, E.________ a clairement dit que c’était parce que B.________ lui réclamait des comptes et le faisait « chier » qu’il s’était décidé à lui envoyer une facture. Il est ainsi vraisemblable qu’il ne s’attribuait aucune créance avant que le plaignant ne vienne le rechercher, si bien qu’on peut douter qu’il soit fondé à lui</w:t>
      </w:r>
    </w:p>
    <w:p>
      <w:r>
        <w:t>- 11 - réclamer une somme d’argent, respectivement qu’on peut soupçonner que la démarche visait d’autres fins, peut-être moins avouables. On peut concéder au Ministère public que l’envoi d’une simple facture ne constitue pas un moyen de contrainte au sens de l’art. 181 CP, mais le fait est que, lors de son interrogatoire, E.________ a fait état de poursuites qu’il aurait engagées contre le plaignant. Or, l’utilisation d’un commandement de payer comme moyen de pression pouvait s’avérer abusif et, partant, illicite (cf. supra consid. 3.2.2). C’est donc de manière prématurée, en l’espèce, que le Ministère public a conclu qu’une condamnation d’E.________ pour tentative de contrainte était exclue. Il lui incombe d’ouvrir une instruction et de compléter l’enquête, en particulier en se faisant produire le commandement de payer qu’E.________ dit avoir fait notifier au plaignant.</w:t>
      </w:r>
    </w:p>
    <w:p>
      <w:r>
        <w:rPr>
          <w:b/>
        </w:rPr>
        <w:t>E. 4</w:t>
      </w:r>
    </w:p>
    <w:p>
      <w:r>
        <w:t>En définitive, le recours doit être admis et l’ordonnance entreprise annulée. Le dossier de la cause sera renvoyé au Ministère public de l’arrondissement de l’Est vaudois pour qu’il procède dans le sens des considérants. Vu le sort du recours, les frais de la procédure, constitués du seul émolument d’arrêt, par 1’210 fr. (art. 20 al. 1 TFIP [tarif des frais de procédure et indemnités en matière pénale du 28 septembre 2010 ; BLV 312.03.1]), seront laissés à la charge de l’Etat (art. 428 al. 4 CPP). Le montant de 770 fr. déjà versé par le recourant à titre de sûretés lui sera restitué (art. 383 al. 1 CPP ; art. 7 TFIP). Le recourant, qui a procédé avec l’assistance d’un conseil de choix et qui a obtenu gain de cause sur le principe, a droit, à la charge de l’Etat, à une indemnité pour les dépenses obligatoires occasionnées par la procédure de recours (art. 433 al. 1 CPP, applicable par renvoi de l’art. 436 al. 1 CPP ; cf. TF 6B_2/2021 du 25 juin 2021 consid. 1.1 ; TF 6B_1324/2015 du 23 novembre 2016 consid. 2.2). Au vu de la nature de l’affaire et des moyens articulés, il sera retenu une durée d’activité totale de trois heures au tarif horaire de 300 fr. (art. 26a al. 3 TFIP ; TF 7B_35/2022 du 22 février</w:t>
      </w:r>
    </w:p>
    <w:p>
      <w:r>
        <w:t>- 12 - 2024, JdT 2024 III 61), à hauteur de 900 francs. A ce montant il convient d’ajouter des débours forfaitaires à concurrence de 2 % des honoraires admis (art. 19 al. 2 TDC [Tarif des dépens en matière civile du 23 novembre 2010 ; BLV 270.11.6]), par 18 fr., plus la TVA au taux de 8,1 %, par 74 fr. 35. L’indemnité s’élève ainsi à 993 fr. au total, en chiffres arrondis. Par ces motifs, la Chambre des recours pénale prononce : I. Le recours est admis. II. L’ordonnance du 20 février 2025 est annulée. III. Le dossier de la cause est renvoyé au Ministère public de l’arrondissement de l’Est vaudois pour qu’il procède dans le sens des considérants. IV. Les frais d’arrêt, par 1’210 fr. (mille deux cent dix francs), sont laissés à la charge de l’Etat. V. L’avance de frais de 770 fr. (sept cent septante francs) versée par B.________ à titre de sûretés lui est restituée. VI. Une indemnité de 993 fr. (neuf cent nonante-trois francs) est allouée à B.________ pour la procédure de recours, à la charge de l’Etat. VII. L’arrêt est exécutoire. Le président : La greffière : Du Le présent arrêt, dont la rédaction a été approuvée à huis clos, est notifié, par l’envoi d’une copie complète, à : - Me Nicolas Bruder, avocat (pour B.________), - Ministère public central,</w:t>
      </w:r>
    </w:p>
    <w:p>
      <w:r>
        <w:t>- 13 - et communiqué à : - Mme la Procureure de l’arrondissement de l’Est vaudois, - E.________,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