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PE24.013618 vom 12. November 2024</w:t>
      </w:r>
    </w:p>
    <w:p>
      <w:r>
        <w:t>VD Tribunal cantonal, 2024-11-12, FR</w:t>
      </w:r>
    </w:p>
    <w:p>
      <w:r>
        <w:rPr>
          <w:b/>
        </w:rPr>
        <w:t xml:space="preserve">Quelle: </w:t>
      </w:r>
      <w:r>
        <w:t>https://mcp.opencaselaw.ch/entscheid/vd_gerichte_PE24.013618</w:t>
      </w:r>
    </w:p>
    <w:p>
      <w:r>
        <w:t>FR: VD_GERICHTE PE24.013618 du 12 novembre 2024</w:t>
      </w:r>
    </w:p>
    <w:p>
      <w:r>
        <w:t>IT: VD_GERICHTE PE24.013618 del 12 novembre 2024</w:t>
      </w:r>
    </w:p>
    <w:p>
      <w:pPr>
        <w:pStyle w:val="Heading2"/>
      </w:pPr>
      <w:r>
        <w:t>Volltext</w:t>
      </w:r>
    </w:p>
    <w:p>
      <w:r>
        <w:t>TRIBUNAL CANTONAL 818 PE24.013618-EBJ CHAMBRE DE S RECO URS PEN ALE __________________________________________ Arrêt du 12 novembre 2024 __________________ Composition : M. KRIEGER, président Mme Byrde, juge et Mme Epard, juge suppléante Greffière : Mme Fritsché ***** Art. 90 al. 1 LCR ; 144 al. 1 CP ; 310, 385 al. 1 et 393 ss CPP Statuant sur le recours interjeté le 22 juillet 2024 par Z.________ contre l’ordonnance rendue le 17 juillet 2024 par le Ministère public de l’arrondissement de l’Est vaudois dans la cause n° PE24.013618-EBJ, la Chambre des recours pénale considère : En fait : A. a) À Vevey, avenue de Blonay, le 30 novembre 2023, vers 16h30, un différend en matière de circulation routière a opposé Z.________, qui circulait au guidon de son cyclomoteur léger Tekmobil Hua, à T.________, qui circulait au volant de son véhicule Suzuki Ignis. Z.________ reproche à T.________ de l’avoir heurtée au niveau de l’arrière gauche de son cyclomoteur, alors qu’elle changeait de voie 351</w:t>
      </w:r>
    </w:p>
    <w:p>
      <w:r>
        <w:t>- 2 - pour obliquer à gauche après avoir enclenché son clignotant, puis, alors qu’elle s’était arrêtée et avait ouvert sa portière gauche, de l’avoir dépassée par la gauche en poussant volontairement celle-ci jusqu’à ce qu’elle touche son aile avant, endommageant ainsi la portière et la garniture de fenêtre. T.________ reproche pour sa part à Z.________ de lui avoir coupé la route alors qu’elle venait de la rue de Chenevières, l’obligeant à freiner une première fois pour éviter un choc, d’avoir ensuite poursuivi sa route avec son clignotant droit enclenché, avant de brusquement obliquer à gauche, lui coupant une nouvelle fois la route et le contraignant à nouveau à freiner fortement pour éviter un heurt, puis, alors qu’il s’était arrêté, d’être sortie de son engin en vociférant, sans l’immobiliser correctement, et d’avoir ainsi laissé celui-ci reculer tout seul jusqu’à ce que sa portière gauche frotte le côté droit de son véhicule, lui occasionnant deux griffures à cet endroit. Z.________ a déposé plainte le 27 décembre 2023. b) Par courrier du 16 janvier 2024, le Ministère public de l’arrondissement de l’Est vaudois (ci-après : le Ministère public), a indiqué à la plaignante que, sa plainte ne contenant pas assez d’éléments justifiant l’ouverture d’une instruction pénale, il la transmettait ainsi que ses annexes à la Police cantonale vaudoise comme objet de sa compétence en vue d’une investigation policière (P. 6). Le Ministère public a notamment précisé que si les recherches effectuées par la police ne devaient rien amener, le dossier serait conservé par la police sans qu’un nouvel avis lui soit adressé. Dans le cas contraire, elle serait avisée et recevrait les avis et décisions prévus par la loi. c) Par mandat de comparution du 16 avril 2024, Police Riviera a convoqué Z.________ pour être entendue le 27 avril 2024 en qualité de personne appelée à donner des renseignements concernant l’accident du 30 novembre 2024 (recte : 2023).</w:t>
      </w:r>
    </w:p>
    <w:p>
      <w:r>
        <w:t>- 3 - Par courrier du 22 avril 2024, Z.________ a informé Police Riviera qu’elle lui avait signalé à de nombreuses reprises que son état de santé n’était pas constant et qu’elle n’était pas en mesure de répondre à leurs convocations. Elle a rappelé qu’elle n’était pas une personne susceptible de donner des informations mais une plaignante. Elle a indiqué qu’elle n’était toujours pas rétablie mais qu’elle viendrait à l’audience prévue le 27 avril 2024 malgré son état de santé et contre l’avis médical joint (cf. P. 5/5). d) Il ressort du rapport de Police Riviera du 29 mai 2024 que T.________ a été entendu en qualité de personne appelée à donner des renseignements le 4 mars 2024. Ce rapport mentionne également que Z.________ n’a jamais pu être entendue – pour des raisons médicales – alors qu’elle avait été convoquée à trois reprises pour des auditions prévues les 12 mars 2024, 15 avril 2024 et 27 avril 2024, la dernière convocation étant un mandat de comparution. Elle ne s’était au demeurant jamais inquiétée de contacter la police si son état s’améliorait. Enfin, des mesures prises sur les deux véhicules montrent des griffures sur le côté droit de la Suzuki à 84 cm de haut, cette hauteur coïncidant avec la hauteur du milieu de la porte de la Tekmobil Hua. Les policiers arrivent ainsi à la conclusion qu’il y a bien eu un choc entre le côté droit de la Suzuki et la portière du Motocycle (P. 4 p. 4). Ils excluent toutefois un choc entre l’avant de la Suzuki et l’arrière de la Tekmobil Hua. B. Par ordonnance du 17 juillet 2024, le Ministère public a refusé d’entrer en matière sur la plainte de Z.________ (I) et a laissé les frais de la procédure à la charge de l’Etat (II). La Procureure a considéré que les versions des parties étaient irrémédiablement contradictoires et qu’aucune mesure d’instruction ne paraissait à même de les départager. C. Par acte du 18 juillet 2024, Z.________ a recouru contre cette ordonnance en concluant à son annulation et au renvoi du dossier au Ministère public pour qu’il ouvre une instruction. Elle a également produit un enregistrement provenant du système audio de son véhicule.</w:t>
      </w:r>
    </w:p>
    <w:p>
      <w:r>
        <w:t>- 4 - Par décision du 5 août 2024, le Président de la Chambre de céans a dispensé Z.________, au vu de sa situation financière, du versement des sûretés requises par avis du 25 juillet 2024 (P. 17).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 7B_51/2024 du 25 avril 2024 consid. 2.2.2 ; TF 6B_1447/2022 du 14 mars 2023 consid. 1.1). Selon l'art. 385 al. 2 CPP, si le mémoire ne satisfait pas à ces exigences, l'autorité de recours le renvoie au recourant afin que ce dernier</w:t>
      </w:r>
    </w:p>
    <w:p>
      <w:r>
        <w:t>- 5 -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précité ; TF 7B_51/2024 précité ; TF 6B_1447/2022 précité).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 TF 7B_587/2023 précité ; TF 7B_51/2024 précité ; TF 1B_318/2021 du 25 janvier 2022 consid. 4.1). 1.3 Interjeté en temps utile devant l’autorité compétente par la partie plaignante qui a qualité pour recourir (art. 382 al. 1 CPP), et satisfaisant aux conditions de forme prescrites (art. 385 al. 1 CPP), le recours est recevable, sous réserve de ce qui sera exposé plus bas (cf. consid. 4 infra). La pièce nouvelle produite en annexe au recours est recevable (cf. art. 389 al. 3 CPP ; TF 1B_550/2022 du 17 novembre 2022).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et 2 al. 2</w:t>
      </w:r>
    </w:p>
    <w:p>
      <w:r>
        <w:t>- 6 -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 3. 3.1 La recourante se plaint en premier lieu d’une violation de son droit d’être entendue. Elle explique que son état de santé, certificat médical à l’appui, l’aurait empêchée de se rendre à la dernière convocation de la Police. Elle semble également se plaindre d’une violation du principe contradictoire (art. 107 CPP) pour le motif qu’elle n’aurait pas été invitée à participer aux auditions menées par la police. 3.2 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w:t>
      </w:r>
    </w:p>
    <w:p>
      <w:r>
        <w:t>- 7 -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3.3 En l’espèce, malgré trois tentatives, la dernière fois par l’envoi d’un mandat de comparution, les policiers ne sont pas parvenus à procéder à l’audition de Z.________. Quoi qu’il en soit, dans le cadre d’une enquête préliminaire, les policiers n’ont aucune obligation d’entendre la partie plaignante puisqu’elle s’est exprimée dans le cadre de sa plainte. Par ailleurs, conformément à la jurisprudence susmentionnée, le Ministère public pouvait rendre une ordonnance de non-entrée en matière sur la base de la plainte de Z.________ et du témoignage de T.________, sans inviter la plaignante à participer à l’administration des preuves. En effet, le principe contradictoire ne s’applique pas au stade des investigations policières et le droit d’être entendu de la plaignante est exercé dans le cadre de la procédure de recours. Le moyen est par conséquent infondé et sera rejeté.</w:t>
      </w:r>
    </w:p>
    <w:p>
      <w:r>
        <w:t>- 8 - 4. Dans la seconde partie de son écriture, la recourante explique que l’enregistrement audio qu’elle a produit à l’appui de son recours prouverait que la partie adverse n’aurait pas dit toute la vérité. Elle n’explique toutefois pas en quoi cet élément contredirait l’appréciation de la procureure qui se fonde notamment sur l’absence de preuve matérielle, étant au demeurant précisé que si le CD apporte la preuve qu’il y a eu un différend, ce qui n’est pas contesté, il ne permet pas de préférer une version à l’autre. Pour le reste, Z.________ expose une nouvelle fois sa version des faits ; ce faisant, elle ne développe aucun argument – factuel ou juridique – en lien avec l’infraction concernée par sa plainte et sur lequel elle pourrait prétendre se fonder pour faire modifier l’ordonnance entreprise en sa faveur. On ne comprend dès lors pas les motifs qui commanderaient une autre décision. Le recours ne satisfait donc pas aux exigences de motivation de l'art. 385 al. 1 CPP. Un tel défaut de motivation ne saurait justifier qu'un délai supplémentaire soit imparti à la recourante pour compléter son acte en application de l'art. 385 al. 2 CPP. Le recours est dès lors irrecevable dans cette mesure. Par surabondance, l’ordonnance attaquée paraît bien fondée dans la mesure où les versions des parties sont contradictoires et où aucune trace, compatible avec un heurt par l’arrière n’a été retrouvée sur le véhicule de la recourante et que les dégâts au niveau de la portière et de la garniture de la fenêtre n’ont pas davantage été étayés par la recourante, ce que celle-ci ne conteste pas. Quant à l’enregistrement produit en deuxième instance par la recourante, il n’étaye pas la commission par l’intimé d’un dommage à la propriété causé à sa portière, puisqu’on y entend seulement ce dernier dire « elle est cassée où ta porte hein, elle est cassée où », soit demander à la plaignante où sont les dommages prétendument causés à la porte. 5. En définitive, le recours doit être rejeté dans la mesure où il est recevable et l'ordonnance entreprise confirmée. Le recours étant</w:t>
      </w:r>
    </w:p>
    <w:p>
      <w:r>
        <w:t>- 9 - manifestement dénué de chances de succès, de même que les conclusions civiles que la recourante aurait pu prendre, la requête d’assistance judiciaire ne saurait être admise (art. 136 al. 1 let. b CPP). La recourante ne sera dès lors pas exonérée des frais (art. 136 al. 2 let. b CPP). Les frais de la procédure de recours, constitués en l’espèce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17 juillet 2024 est confirmée. III. La requête d’assistance judiciaire est rejetée. IV. Les frais d'arrêt, par 880 fr. (huit cent huitante francs), sont mis à la charge de Z.________. V. L’arrêt est exécutoire. Le président : La greffière : Du Le présent arrêt, dont la rédaction a été approuvée à huis clos, est notifié, par l'envoi d'une copie complète, à : - Mme Z.________, - Ministère public central,</w:t>
      </w:r>
    </w:p>
    <w:p>
      <w:r>
        <w:t>- 10 - et communiqué à : - M. T.________,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