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PE24.012988 vom 8. Juli 2025</w:t>
      </w:r>
    </w:p>
    <w:p>
      <w:r>
        <w:t>VD Tribunal cantonal, 2025-07-08, FR</w:t>
      </w:r>
    </w:p>
    <w:p>
      <w:r>
        <w:rPr>
          <w:b/>
        </w:rPr>
        <w:t xml:space="preserve">Quelle: </w:t>
      </w:r>
      <w:r>
        <w:t>https://mcp.opencaselaw.ch/entscheid/vd_gerichte_PE24.012988</w:t>
      </w:r>
    </w:p>
    <w:p>
      <w:r>
        <w:t>FR: VD_GERICHTE PE24.012988 du 8 juillet 2025</w:t>
      </w:r>
    </w:p>
    <w:p>
      <w:r>
        <w:t>IT: VD_GERICHTE PE24.012988 del 8 luglio 2025</w:t>
      </w:r>
    </w:p>
    <w:p>
      <w:pPr>
        <w:pStyle w:val="Heading2"/>
      </w:pPr>
      <w:r>
        <w:t>Erwägungen</w:t>
      </w:r>
    </w:p>
    <w:p>
      <w:r>
        <w:rPr>
          <w:b/>
        </w:rPr>
        <w:t>E. 1</w:t>
      </w:r>
    </w:p>
    <w:p>
      <w:r>
        <w:t>Les parties peuvent attaquer une ordonnance de non-entrée en matière et de suspension de la procédure rendue par le Ministère public dans les dix jours devant l’autorité de recours (art. 20 al. 1 let. b, 310 al. 2, 314 al. 1 et 396 al. 1 CPP [Code de procédure pénale du 5 octobre 2007; RS 312.0])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posté le 24 avril 2025 a été déposé en temps utile par la plaignante devant l’autorité compétente et dans les</w:t>
      </w:r>
    </w:p>
    <w:p>
      <w:r>
        <w:t>- 5 - formes prescrites (art. 385 al. 1 CPP). Partant, il est recevable à ces égards.</w:t>
      </w:r>
    </w:p>
    <w:p>
      <w:r>
        <w:rPr>
          <w:b/>
        </w:rPr>
        <w:t>E. 2.1</w:t>
      </w:r>
    </w:p>
    <w:p>
      <w:r>
        <w:t>La recourante conteste l’absence de jonction de la présente procédure avec la procédure ouverte à son encontre sous PE23.010859 et invoque une violation de l’art. 29 al. 1 CPP. Elle estime que le refus de jonction violerait le devoir d’instruction en la privant de moyens de preuve pertinents.</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w:t>
      </w:r>
    </w:p>
    <w:p>
      <w:r>
        <w:rPr>
          <w:b/>
        </w:rPr>
        <w:t>E. 2.3</w:t>
      </w:r>
    </w:p>
    <w:p>
      <w:r>
        <w:t>; Jositsch/Schmid, Schweizerische Strafprozessordnung, Praxiskommentar, 4e éd., Zurich/St-Gall 2023, n. 1 ad art. 314 CPP ; Landshut/Bosshard, in : Donatsch/Lieber/Summers/Wohlers [édit.], Kommentar zur Schweizerischen Strafprozessordnung, 3e éd., Zurich/Bâle/ Genève 2020, n. 4 ad art. 314 CPP ; Vogelsang, in : BSK StPO/JStPO, op. cit., n. 15a ad art. 314 CPP).</w:t>
      </w:r>
    </w:p>
    <w:p>
      <w:r>
        <w:rPr>
          <w:b/>
        </w:rPr>
        <w:t>E. 3.1</w:t>
      </w:r>
    </w:p>
    <w:p>
      <w:r>
        <w:t>La recourante estime ensuite que bon nombre d’éléments dont elle a fait état dans sa plainte n’auraient à tort pas été instruits. Sur le fond, elle conteste la non-entrée en matière s’agissant de l’infraction de contrainte et de tentative de contrainte, soutenant que tous les faits qu’elle a dénoncés, considérés dans leur ensemble, seraient constitutifs de contrainte ou de tentative de contrainte, puisqu’ils auraient pour objectif de la contraindre à quitter son domicile. A cet égard, elle reproche en particulier au Ministère public d’avoir limité son examen aux cas nos 1- 6, sans avoir englobé le cas no 7, le comportement agressif que l’un d’eux avaient eu contre un collaborateur du CMS le 24 septembre 2023 (selon sa</w:t>
      </w:r>
    </w:p>
    <w:p>
      <w:r>
        <w:t>- 6 - plainte, p. 10), le changement global de comportement de l’intimée à son encontre (selon sa plainte p. 10), la pose de câbles à son insu dans le local de buanderie sur lequel elle jouirait d’un droit exclusif (plainte p. 2) et le fait qu’une demande de mise en détention préventive ait été formée contre elle ; tout cela devait par ailleurs, selon elle, être mis en relation avec le refus des intimés de trouver une solution transactionnelle au litige. Elle conteste également le fait qu’elle n'aurait pas la qualité pour dénoncer les comportements des prévenus envers ses visiteurs sous l’angle de l’infraction de contrainte, puisque l’agressivité des intimés envers ses invités la restreindrait dans son droit de jouir pleinement de son logement en recevant des visites. Quant au cas no 1, il n’avait pas l’autorité de la chose jugée, puisque l’arrêt de la Chambre de céans mentionné par la procureure l’avait écarté au motif qu’elle ne l’avait pas mentionné dans sa plainte initiale du 19 avril 2023, ni ajouté à la suite de son audition le 17 mai 2023. Ce serait donc à tort que le Ministère public avait considéré que ce cas avait déjà fait l’objet de la plainte du 19 avril 2023. Enfin, la recourante soutient que les cas nos 3 et 4 auraient également dû être examinés sous l’angle du dommage à la propriété et de la violation de domicile.</w:t>
      </w:r>
    </w:p>
    <w:p>
      <w:r>
        <w:rPr>
          <w:b/>
        </w:rPr>
        <w:t>E. 3.2</w:t>
      </w:r>
    </w:p>
    <w:p>
      <w:r>
        <w:t>et les références citées ; TF 1B_563/2019 et 1B_565/2019 du 9 juin 2020 consid. 4.1.2 ; Vogelsang, in : Niggli/Heer/Wiprächtiger [édit.], Basler Kommentar, Schweizerische Strafprozessordnung,</w:t>
      </w:r>
    </w:p>
    <w:p>
      <w:r>
        <w:t>- 10 - Jugendstrafprozessordnung, 3e éd., Bâle 2023 [ci-après : BSK StPO/JStPO], n. 15 ad art. 314 CPP ; Grodecki/Cornu, in : Kuhn/Jeanneret [édit.], Commentaire romand, Code de procédure pénale suisse, 2e éd., Bâle 2019, nn. 13-13a et 14a ad art. 314 CPP).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 2 décembre 2020 consid. 3.2 ; TF 1B_21/2015 du 1er juillet 2015 consid.</w:t>
      </w:r>
    </w:p>
    <w:p>
      <w:r>
        <w:rPr>
          <w:b/>
        </w:rPr>
        <w:t>E. 3.2.1</w:t>
      </w:r>
    </w:p>
    <w:p>
      <w:r>
        <w:t>Le recours s’exerce par le dépôt d’un mémoire écrit et dûment motivé (art. 390 al. 1 et 396 al. 1 CPP). Aux termes de l’art. 385 al. 1 CPP, si le code exige que le recours soit motivé, la personne ou l’autorité qui recourt indique précisément les points de la décision qu’elle attaque (let. a), les motifs qui commandent une autre décision (let. b) et les moyens de preuve qu’elle invoque (let. c). En indiquant les points de la décision qu’il attaque au sens de l’art. 385 al. 1 let. a CPP, le recourant doit mentionner quels points du dispositif il entend vouloir modifier ou annuler (Moreillon/Parein-Reymond, Petit Commentaire, Code de procédure pénale, 2e éd., Bâle 2016, n. 3 ad</w:t>
      </w:r>
    </w:p>
    <w:p>
      <w:r>
        <w:t>- 7 - art. 385 al. 1 let. a CPP). Les motifs au sens de l’art. 385 al. 1 let. b CPP doivent être étayés par le recourant sous l’angle des faits et du droit. Sous peine d’irrecevabilité, cela suppose que le recourant doit exposer précisément, en se référant aux considérants de la décision attaquée, quels motifs commandent de prendre une autre décision et dans quelle mesure celle-ci doit être modifiée ou annulée (TF 7B_587/2023 du 11 septembre 2024 consid. 2.2.1 et 2.2.2 ; TF 6B_1447/2022 du 14 mars 2023 consid. 1.1 ; CREP 3 mai 2025/317 ; CREP 9 octobre 2024/727). Les moyens de preuve au sens de l’art. 385 al. 1 let. c CPP concernent tout moyen de preuve, qu’il soit nouveau ou qu’il figure déjà au dossier (Moreillon/Parein-Reymond, op. cit., n. 8 ad art. 385 al. 1 let. c CPP).</w:t>
      </w:r>
    </w:p>
    <w:p>
      <w:r>
        <w:rPr>
          <w:b/>
        </w:rPr>
        <w:t>E. 3.2.2</w:t>
      </w:r>
    </w:p>
    <w:p>
      <w:r>
        <w:t>Aux termes de l’art. 181 CP (Code pénal suisse du 21 décembre 1937 ; RS 311.0),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 stalking », c'est-à-dire par persécution</w:t>
      </w:r>
    </w:p>
    <w:p>
      <w:r>
        <w:t>- 8 - obsessionnelle d'une personne (ATF 129 IV 262 consid. 2.3 à 2.5, JdT 2005 IV 207 ; Dupuis et al. [éd.], Petit Commentaire, Code pénal, 2e éd., Bâle 2017,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w:t>
      </w:r>
    </w:p>
    <w:p>
      <w:r>
        <w:rPr>
          <w:b/>
        </w:rPr>
        <w:t>E. 3.2.3</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w:t>
      </w:r>
    </w:p>
    <w:p>
      <w:r>
        <w:t>- 9 -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3.2.4</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w:t>
      </w:r>
    </w:p>
    <w:p>
      <w:r>
        <w:rPr>
          <w:b/>
        </w:rPr>
        <w:t>E. 3.3.1</w:t>
      </w:r>
    </w:p>
    <w:p>
      <w:r>
        <w:t>Dans son arrêt CREP du 17 août 2023/662, la Chambre de céans avait déjà examiné si une série d’actes que la recourante reprochaient aux intimés – parmi lesquels figurait à tout le moins déjà le cas n. 1 (coups de marteau contre la porte de la buanderie) – pouvaient remplir les conditions de la contrainte. Elle avait alors confirmé l’ordonnance de non-entrée en matière du 30 mai 2023 sur ce point, principalement au motif que même si les divers reproches de la recourante devaient être établis, ils ne rempliraient pas les conditions de la contrainte en termes de gravité et d’intensité, tout en relevant ensuite que la recourante n’avait au demeurant pas fait état de certains éléments – dont le fait correspondant au cas n. 1 – dans sa plainte initiale, ni</w:t>
      </w:r>
    </w:p>
    <w:p>
      <w:r>
        <w:t>- 11 - complété sa plainte en ce sens lors de l’envoi de son audition, le 17 mai 2023 (consid. 2.3). Ainsi, en dépit de ce que soutient la recourante, la Chambre de céans s’est déjà prononcée sur une ordonnance de non- entrée en matière pour des faits similaires. Dans son mémoire de recours, la recourante n’indique toutefois pas de manière claire et intelligible quels seraient les actes supplémentaires intervenus depuis lors qui, cumulés aux actes précédents, seraient ainsi constitutifs de contrainte au sens de la jurisprudence décrite ci-dessus. En ce sens, on peut ainsi douter de la recevabilité du recours en termes de motivation. Quoi qu’il en soit, le recours doit de toute manière être rejeté pour les motifs qui suivent.</w:t>
      </w:r>
    </w:p>
    <w:p>
      <w:r>
        <w:rPr>
          <w:b/>
        </w:rPr>
        <w:t>E. 3.3.2</w:t>
      </w:r>
    </w:p>
    <w:p>
      <w:r>
        <w:t>Quant au fait que les cas nos 3 et 4 auraient dû être examinés sous l’angle de la violation de domicile et du dommage à la propriété, il faut constater que ce grief est irrecevable. En effet, la recourante ne discute aucunement la motivation de l’ordonnance sur ce point – en l’occurrence la tardiveté de la plainte –, comme le commande l’art. 385 al. 1 let. b CPP.</w:t>
      </w:r>
    </w:p>
    <w:p>
      <w:r>
        <w:rPr>
          <w:b/>
        </w:rPr>
        <w:t>E. 4</w:t>
      </w:r>
    </w:p>
    <w:p>
      <w:r>
        <w:t>Il résulte de ce qui précède que le recours, manifestement mal fondé, doit être rejeté sans échange d’écritures (art. 390 al. 2 CPP) et l’ordonnance entreprise confirmée. Les frais de la procédure de recours, constitués en l’espèce de l’émolument d'arrêt, par 1’320 fr. (art. 20 al. 1 TFIP), seront mis à la charge de la recourante, qui succombe (art. 428 al. 1 CPP).</w:t>
      </w:r>
    </w:p>
    <w:p>
      <w:r>
        <w:t>- 13 - Par ces motifs, la Chambre des recours pénale prononce : I. Le recours est rejeté dans la mesure de sa recevabilité. II. L’ordonnance de non-entrée en matière et de suspension est confirmée. III. Les frais d’arrêt, par 1’320 fr. (mille trois cent vingt francs), sont mis à la charge de N.________. IV. Le montant de 770 fr. (sept cent septante francs) déjà versé par N.________ à titre de sûretés est imputé sur les frais mis à sa charge au chiffre III ci-dessus, le solde dû par celle-ci à l’Etat s’élevant à 550 fr. (cinq cent cinquante francs). V. L’arrêt est exécutoire. Le président : La greffière : Du Le présent arrêt, dont la rédaction a été approuvée à huis clos, est notifié, par l'envoi d'une copie complète, à : - Me Vanessa Simioni (pour N.________), - Ministère public central, et communiqué à : - Mme la Procureure de l’arrondissement de La Côte, - Mme T.________, - M. B.________,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