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PE24.012040 vom 12. August 2024</w:t>
      </w:r>
    </w:p>
    <w:p>
      <w:r>
        <w:t>VD Tribunal cantonal, 2024-08-12, FR</w:t>
      </w:r>
    </w:p>
    <w:p>
      <w:r>
        <w:rPr>
          <w:b/>
        </w:rPr>
        <w:t xml:space="preserve">Quelle: </w:t>
      </w:r>
      <w:r>
        <w:t>https://mcp.opencaselaw.ch/entscheid/vd_gerichte_PE24.012040</w:t>
      </w:r>
    </w:p>
    <w:p>
      <w:r>
        <w:t>FR: VD_GERICHTE PE24.012040 du 12 août 2024</w:t>
      </w:r>
    </w:p>
    <w:p>
      <w:r>
        <w:t>IT: VD_GERICHTE PE24.012040 del 12 agosto 2024</w:t>
      </w:r>
    </w:p>
    <w:p>
      <w:pPr>
        <w:pStyle w:val="Heading2"/>
      </w:pPr>
      <w:r>
        <w:t>Erwägungen</w:t>
      </w:r>
    </w:p>
    <w:p>
      <w:r>
        <w:rPr>
          <w:b/>
        </w:rPr>
        <w:t>E. 1.1</w:t>
      </w:r>
    </w:p>
    <w:p>
      <w:r>
        <w:t>; Harari/Jakob/Santamaria, in : Jeanneret et al. [éd.], Commentaire romand, Code de procédure pénale suisse, 2e éd., Bâle 2019, n. 25 ad art. 134 CPP).</w:t>
      </w:r>
    </w:p>
    <w:p>
      <w:r>
        <w:rPr>
          <w:b/>
        </w:rPr>
        <w:t>E. 1.2</w:t>
      </w:r>
    </w:p>
    <w:p>
      <w:r>
        <w:t>En l'espèce, le recours a été interjeté par écrit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valant rejet de sa requête de confier le mandat d'office à un autre mandataire (art. 134 al. 2 CPP). Il est donc recevable.</w:t>
      </w:r>
    </w:p>
    <w:p>
      <w:r>
        <w:rPr>
          <w:b/>
        </w:rPr>
        <w:t>E. 2.1</w:t>
      </w:r>
    </w:p>
    <w:p>
      <w:r>
        <w:t>Le recourant expose que Me H.________ insiste pour qu'il reconnaisse les faits de dommages à la propriété et violation de domicile, alors qu'il les réfute, qu'il n'a pas répondu à ses courriels ni à sa demande</w:t>
      </w:r>
    </w:p>
    <w:p>
      <w:r>
        <w:t>- 5 - d'entretien, qu'il lui a rendu visite uniquement pour lui faire signer une reconnaissance des faits et qu'il a refusé de requérir sa libération et d'être relevé de son dossier, de telle sorte qu'il n'a plus confiance en lui.</w:t>
      </w:r>
    </w:p>
    <w:p>
      <w:r>
        <w:rPr>
          <w:b/>
        </w:rPr>
        <w:t>E. 2.2</w:t>
      </w:r>
    </w:p>
    <w:p>
      <w:r>
        <w:t>Le droit à l'assistance judiciaire (art. 6 par. 3 let. c CEDH [Convention de sauvegarde des droits de l’homme et des libertés fondamentales du 4 novembre 1950 ; RS 0.101] et 29 al. 3 Cst. [Constitution fédérale de la Confédération suisse du 18 avril 1999 ; RS 101])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(ATF 138 IV 161 consid. 2.4 in limine). L'art. 134 al. 2 CPP dispose que la direction de la procédure confie la défense d'office à une autre personne si la relation de confiance entre le prévenu et le défenseur d'office est gravement perturbée ou si une défense efficace n'est plus assurée pour d'autres raisons.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Lorsque l'avocat présente des carences manifestes, l'autorité pénale doit – en principe à titre d'ultima ratio et après avoir rappelé l'intéressé à ses obligations – procéder à un changement d'avocat d'office.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w:t>
      </w:r>
    </w:p>
    <w:p>
      <w:r>
        <w:t>- 6 - procédure conforme aux principes essentiels tels que le respect de la dignité, le droit à un traitement équitable et l'interdiction de l'abus de droit (art. 3 CPP), ou encore le principe de la célérité, en particulier lorsque le prévenu se trouve en détention (art. 5 al. 2 CPP ; TF 1B_166/2020 du 25 juin 2020 consid. 3.1.2 ; TF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w:t>
      </w:r>
    </w:p>
    <w:p>
      <w:r>
        <w:rPr>
          <w:b/>
        </w:rPr>
        <w:t>E. 2.3</w:t>
      </w:r>
    </w:p>
    <w:p>
      <w:r>
        <w:t>En l'espèce, par lettre reçue le 17 juillet 2024 au Ministère public, le recourant a demandé à pouvoir changer d'avocat d'office et que Me F.________ soit désigné, sans exposer aucun motif qui justifierait qu'une telle décision soit prise. Interpellé par le Ministère public, Me H.________ a répondu le 30 juillet 2024 que son client maintenait sa demande de changement de défenseur, mais que les conditions pour un tel changement ne lui paraissaient manifestement pas réunies, pas plus que celles régissant le passage à un conseil de choix. Or, le prévenu n’a exposé aucun motif à l’appui de sa requête de changement de défenseur d’office, de sorte que, pour ce motif déjà, c’est à juste titre que le Ministère public a rejeté celle-ci. S'agissant des motifs évoqués par G.________ dans le cadre de son recours, on ne saurait reprocher à un avocat de s’assurer des faits que son client reconnaît, ceci d’autant que, dans le cas particulier, le 19 juillet 2024, le Ministère public a demandé au défenseur de lui indiquer si le prévenu souhaitait être entendu au sujet des contrôles effectués par les CFF et lors desquels il aurait donné une fausse identité. C'est ce que le défenseur d’office a fait, le 30 juillet 2024, après avoir rencontré le recourant, en indiquant que celui-ci admettait les faits dénoncés par les CFF pour les cas où il n’avait pas été entendu.</w:t>
      </w:r>
    </w:p>
    <w:p>
      <w:r>
        <w:t>- 7 - En outre, il n’appartient à l’évidence pas à un avocat de suivre aveuglément les instructions de son client et de déposer par exemple des requêtes qui seraient d’emblée dénuées de chances de succès. Le fait que Me H.________ ait refusé de rédiger une demande de mise en liberté à la demande du recourant n'est dès lors pas un motif suffisant pour qu'il soit relevé de sa mission. Enfin, on ne discerne aucune carence, négligence ou retard dans l’activité du défenseur d’office, de sorte qu’on ne discerne pas d’acte ou d’omission préjudiciable au recourant. Dans ces circonstances, les doléances du recourant reposent sur des motifs subjectifs et ne justifient pas, à défaut de toute circonstance objective et importante, de changer de défenseur d’office.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juillet 2024 est confirmée. III. Les frais d'arrêt, par 770 fr. (sept cent septante francs), sont mis à la charge d'G.________.</w:t>
      </w:r>
    </w:p>
    <w:p>
      <w:r>
        <w:t>- 8 - IV. L’arrêt est exécutoire. Le président : La greffière : Du Le présent arrêt, dont la rédaction a été approuvée à huis clos, est notifié, par l'envoi d'une copie complète, à : - M. G.________, - Me H.________,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