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PE24.011375 vom 21. August 2024</w:t>
      </w:r>
    </w:p>
    <w:p>
      <w:r>
        <w:t>VD Tribunal cantonal, 2024-08-21, FR</w:t>
      </w:r>
    </w:p>
    <w:p>
      <w:r>
        <w:rPr>
          <w:b/>
        </w:rPr>
        <w:t xml:space="preserve">Quelle: </w:t>
      </w:r>
      <w:r>
        <w:t>https://mcp.opencaselaw.ch/entscheid/vd_gerichte_PE24.011375</w:t>
      </w:r>
    </w:p>
    <w:p>
      <w:r>
        <w:t>FR: VD_GERICHTE PE24.011375 du 21 août 2024</w:t>
      </w:r>
    </w:p>
    <w:p>
      <w:r>
        <w:t>IT: VD_GERICHTE PE24.011375 del 21 agosto 2024</w:t>
      </w:r>
    </w:p>
    <w:p>
      <w:pPr>
        <w:pStyle w:val="Heading2"/>
      </w:pPr>
      <w:r>
        <w:t>Erwägungen</w:t>
      </w:r>
    </w:p>
    <w:p>
      <w:r>
        <w:rPr>
          <w:b/>
        </w:rPr>
        <w:t>E. 1</w:t>
      </w:r>
    </w:p>
    <w:p>
      <w:r>
        <w:t>CPP), de sorte qu’il est recevable.</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dans le délai légal, auprès de l'autorité compétente et dans les formes prescrites (art. 385 al.</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réf. ; TF 6B_1148/2021 du 23 juin 2023 consid. 3.1 et</w:t>
      </w:r>
    </w:p>
    <w:p>
      <w:r>
        <w:t>- 6 - les réf.).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6B_957/2021 du 24 mars 2022 consid. 2.4 et les réf.).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6B_1148/2021 précité consid. 3.1 et les réf.).</w:t>
      </w:r>
    </w:p>
    <w:p>
      <w:r>
        <w:rPr>
          <w:b/>
        </w:rPr>
        <w:t>E. 2.1</w:t>
      </w:r>
    </w:p>
    <w:p>
      <w:r>
        <w:t>La recourante fait valoir qu’elle n’a plus de contact avec B.________ depuis le 26 février 2023 et qu’elle n’a dès lors pas pu lui donner d’affaires à partir de cette date. Or, elle aurait constaté la disparition d’objets à son retour chez elle en juillet 2023 et serait persuadée que B.________ s’est introduite chez elle en son absence pour y dérober ses affaires. Elle demande que l’instruction soit reprise et qu’une audition de confrontation soit organisée.</w:t>
      </w:r>
    </w:p>
    <w:p>
      <w:r>
        <w:rPr>
          <w:b/>
        </w:rPr>
        <w:t>E. 2.2</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w:t>
      </w:r>
    </w:p>
    <w:p>
      <w:r>
        <w:t>- 5 -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2.3</w:t>
      </w:r>
    </w:p>
    <w:p>
      <w:r>
        <w:t>En l’espèce, la recourante a d’abord déposé une première plainte, le 26 octobre 2022, pour le vol de 46'000 francs. Elle indiquait qu’elle avait mis cette somme en diverses coupures dans des boîtes de rangement, cachées sous les tiroirs du bas de l’armoire et que personne ne connaissait cette cachette. Elle ne savait pas quand cette somme avait disparu et avait alors indiqué que seul son compagnon et elle avaient la clef. Le 18 février 2023, elle a déposé plainte contre sa belle-sœur, affirmant que, depuis décembre 2022, elle constatait que des objets disparaissaient et qu’elle était persuadée que celle-ci était venue en son absence chez elle. Entendue par la police, elle a affirmé que, dès janvier 2022, elle avait accueilli sa belle-sœur à son domicile et ceci pendant un an, puis que cette dernière avait continué à venir chez elle en son absence. La plaignante affirme avoir été victime de plusieurs vols, à son domicile entre janvier 2022 et lundi 4 janvier 2024. Force est d’admettre que les déclarations de la plaignante sont particulièrement peu précises s’agissant de sa présence à son domicile qu’elle partageait avec [...], des objets qui auraient été dérobés et du moment où elle a découvert leur vol. Concernant les 46'000 fr., on</w:t>
      </w:r>
    </w:p>
    <w:p>
      <w:r>
        <w:t>- 7 - s’étonne qu’elle ait caché une telle somme à son domicile, alors qu’elle ne produit aucun document prouvant un train de vie aisé ou des économies. De plus, cette somme aurait été cachée à un endroit auquel seul [...] et elle-même avaient accès grâce à une clef, de telle sorte que l’on voit mal de quelle manière B.________ aurait pu se l’approprier. La recourante ne l’explique d’ailleurs pas. S’agissant des autres objets prétendument dérobés, L.________ n’indique pas précisément ce qui aurait été volé, se contentant de dire dans sa plainte que « la liste est trop longue » et, lorsqu’elle a été entendue par la police le 8 avril 2024, elle a expliqué ne pas avoir regardé si d’autres choses avaient disparu, car elle avait peur de ce qu’elle allait découvrir (PV aud. 1, R. 5). Ces derniers propos surprennent dans la mesure où elle indiquait aussi qu’elle venait de découvrir qu’une montre Chopard avait disparu. Les deux seuls objets qu’elle mentionne et qui mettent en cause, selon elle, B.________ sont un pull que cette dernière porte sur une photographie, habit commandé pour</w:t>
      </w:r>
    </w:p>
    <w:p>
      <w:r>
        <w:rPr>
          <w:b/>
        </w:rPr>
        <w:t>E. 6</w:t>
      </w:r>
    </w:p>
    <w:p>
      <w:r>
        <w:t>fr. 95 sur le site « Bonprix » et un sac en bandoulière qu’elle reconnait sur une photographie du fils de celle-ci. Or, B.________ a affirmé que la plaignante lui avait offert ce pull et que le sac avait été offert à son fils par son frère. De plus, [...], qui est l’ancien ami de la plaignante, devenu l’ami de la prévenue mais qui vit toujours en colocation avec la première, a indiqué que L.________ avait donné beaucoup de choses à B.________ et que cette dernière n’avait rien volé. Il a aussi dit que la plaignante avait retrouvé sa montre et que celle-ci avait fait des commandes par internet chez « Bonprix » au nom de la prévenue. A cela s’ajoute qu’entendue par la police dans l’institution où elle vit, B.________ a déclaré n’avoir jamais rien volé et qu’au contraire, c’est la plaignante qui avait profité d’elle et notamment commandé des habits sur Internet à son nom. Elle a par ailleurs été incapable de signer son procès-verbal, la police indiquant qu’elle avait décompensé « sans simulacre ».</w:t>
      </w:r>
    </w:p>
    <w:p>
      <w:r>
        <w:t>- 8 - Compte tenu de ces éléments, il y a lieu de constater, comme le Ministère public, que les versions des parties sont contradictoires. Aucun témoin n’est susceptible de confirmer les dires de la plaignante, le seul témoin, [...] – dont les déclarations sont toutefois à considérer avec la plus grande circonspection au vu de ses liens avec les deux parties – confirme les déclarations de la prévenue. Ainsi, aucune mesure d’instruction n’est susceptible de départager leurs déclarations. Une audition de confrontation, comme demandé par la recourante, ne serait pas de nature à amener d’éléments supplémentaires. Il s’ensuit que l’ordonnance de non-entrée en matière est bien fondée. 3. Il résulte de ce qui précède que le recours, manifestement mal fondé, doit être rejeté, sans échange d'écritures (art. 390 al. 2 CPP) et l'ordonnance attaquée confirmée. Les frais de la procédure de recours, constitués du seul émolument d’arrêt (art. 422 al. 1 CPP), par 880 fr. (art. 20 al. 1 TFIP [tarif des frais de procédure et indemnités en matière pénale du 28 septembre 2010 ; BLV 312.03.1]), seront mis à la charge de la recourante qui succombe (art. 428 al. 1 CPP). Le montant de 770 fr. déjà versé par celle-ci à titre de sûretés (art. 383 al. 1 CPP) sera imputé sur les frais mis à sa charge (art. 7 TFIP). Par ces motifs, la Chambre des recours pénale prononce : I. Le recours est rejeté. II. L’ordonnance du 4 juin 2024 est confirmée.</w:t>
      </w:r>
    </w:p>
    <w:p>
      <w:r>
        <w:t>- 9 - III. Les frais d’arrêt, par 880 fr. (huit cent huitante francs), sont mis à la charge de L.________. IV. Le montant de 770 fr. (sept cent septante francs) déjà versé par la recourante à titre de sûretés est imputé sur les frais mis à sa charge au chiffre III ci-dessus, le solde dû à l’Etat s’élevant à 110 fr. (cent dix francs). V. L’arrêt est exécutoire. Le président : La greffière : Du Le présent arrêt, dont la rédaction a été approuvée à huis clos, est notifié, par l'envoi d'une copie complète, à : - L.________, -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