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PE24.011140 vom 15. Januar 2025</w:t>
      </w:r>
    </w:p>
    <w:p>
      <w:r>
        <w:t>VD Tribunal cantonal, 2025-01-15, FR</w:t>
      </w:r>
    </w:p>
    <w:p>
      <w:r>
        <w:rPr>
          <w:b/>
        </w:rPr>
        <w:t xml:space="preserve">Quelle: </w:t>
      </w:r>
      <w:r>
        <w:t>https://mcp.opencaselaw.ch/entscheid/vd_gerichte_PE24.011140</w:t>
      </w:r>
    </w:p>
    <w:p>
      <w:r>
        <w:t>FR: VD_GERICHTE PE24.011140 du 15 janvier 2025</w:t>
      </w:r>
    </w:p>
    <w:p>
      <w:r>
        <w:t>IT: VD_GERICHTE PE24.011140 del 15 gennaio 2025</w:t>
      </w:r>
    </w:p>
    <w:p>
      <w:pPr>
        <w:pStyle w:val="Heading2"/>
      </w:pPr>
      <w:r>
        <w:t>Erwägungen</w:t>
      </w:r>
    </w:p>
    <w:p>
      <w:r>
        <w:rPr>
          <w:b/>
        </w:rPr>
        <w:t>E. 5.1</w:t>
      </w:r>
    </w:p>
    <w:p>
      <w:r>
        <w:t>L’appelant ne conteste à juste titre pas la qualification juridique de l’infraction de lésions corporelles simples qualifiées retenue à son encontre. Il conteste en revanche la qualification de contrainte sexuelle, faisant valoir que l’intention sexuelle ferait défaut.</w:t>
      </w:r>
    </w:p>
    <w:p>
      <w:r>
        <w:rPr>
          <w:b/>
        </w:rPr>
        <w:t>E. 5.2</w:t>
      </w:r>
    </w:p>
    <w:p>
      <w:r>
        <w:t>Aux termes de l'art. 189 aCP, dans sa teneur en vigueur avant le 1er juillet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un acte d’ordre sexuel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(ATF 148 IV 234 précité consid. 3.3 ; ATF 122 IV 97 consid. 2b ; TF 6B_1317/2022 du 27 avril 2023). L'art. 189 aCP ne protège des atteintes à la libre détermination en matière sexuelle que pour autant que l'auteur surmonte ou déjoue la résistance que l'on pouvait raisonnablement attendre de la victime (ATF 148 IV 234 précité consid. 3.3 ; ATF 133 IV 49 consid. 4 et la référence citée). 13702X</w:t>
      </w:r>
    </w:p>
    <w:p>
      <w:r>
        <w:t>- 27 - La contrainte sexuelle suppose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et les références citées). Sur le plan subjectif, la contrainte sexuelle est une infraction intentionnelle. L'auteur doit savoir que la victime n'est pas consentante ou en accepter l'éventualité (ATF 148 IV 234 précité consid. 3.4 et les arrêts cités).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 3.4 et les arrêts cités).</w:t>
      </w:r>
    </w:p>
    <w:p>
      <w:r>
        <w:rPr>
          <w:b/>
        </w:rPr>
        <w:t>E. 5.3</w:t>
      </w:r>
    </w:p>
    <w:p>
      <w:r>
        <w:t>En l’espèce, dès lors que la version des faits de la plaignante doit être préférée aux versions successives servies par l’appelant, il y a lieu de retenir que W.________ l’a saisie par les cheveux et l’a emmenée de force dans le local technique, malgré le fait qu’elle résistât en bloquant l’entrée du local avec ses jambes. Une fois la porte refermée, il s’est positionné derrière elle, a touché sa poitrine par-dessus le t-shirt qu’elle portait en lui malaxant les seins et a tenté de l’embrasser de force, ses lèvres arrivant sur ses joues. L’intention sexuelle ne fait aucun doute. 13702X</w:t>
      </w:r>
    </w:p>
    <w:p>
      <w:r>
        <w:t>- 28 - L’appelant n’avait en effet aucun besoin de toucher avec insistance les seins de la victime ni de l’embrasser si son seul but était de l’entraver. Les autres éléments constitutifs de la contrainte sexuelle – notamment l’usage de la violence pour la mettre hors d’état de résister – étant réalisés, cette infraction sera retenue. En revanche, dès lors qu’il s’agit d’un seul et même événement, la tentative de contrainte sexuelle est absorbée par la contrainte sexuelle. Il y a enfin lieu de relever que les nouvelles dispositions du droit pénal en matière sexuelle, entrées en vigueur au 1er juillet 2024, étendent les infractions de viol et de contrainte sexuelle en supprimant la condition de la contrainte. Elles ne sont ainsi pas plus favorables à l’appelant, qui doit être jugé selon les dispositions applicables au moment des faits litigieux. Le dispositif du jugement de première instance, qui mentionne à tort l’application du nouvel art. 189 al. 2 CP, sera donc rectifié d’office, s’agissant d’une erreur manifeste.</w:t>
      </w:r>
    </w:p>
    <w:p>
      <w:r>
        <w:rPr>
          <w:b/>
        </w:rPr>
        <w:t>E. 6.1</w:t>
      </w:r>
    </w:p>
    <w:p>
      <w:r>
        <w:t>L’appelant conteste sa condamnation pour violation de domicile. Il soutient qu’il n’avait pas la volonté de demeurer dans les locaux de la N.________, où il aurait été enfermé malgré lui.</w:t>
      </w:r>
    </w:p>
    <w:p>
      <w:r>
        <w:rPr>
          <w:b/>
        </w:rPr>
        <w:t>E. 6.2</w:t>
      </w:r>
    </w:p>
    <w:p>
      <w:r>
        <w:t>Commet une violation de domicile au sens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La notion de domicile doit être comprise de manière large et vise non seulement les habitations au sens commun, mais également les fabriques, les centres commerciaux et les bâtiments administratifs (ATF 108 IV 33 consid. 5a). La loi cite aussi les espaces, cours ou jardins clos et attenants à une maison. Il s'agit-là de surfaces non bâties, mais fermées, par exemple par une clôture, un mur ou une haie, et rattachées à un 13702X</w:t>
      </w:r>
    </w:p>
    <w:p>
      <w:r>
        <w:t>- 29 - bâtiment. Techniquement, la clôture n'a pas à être totalement infranchissable. Elle doit cependant permettre de comprendre qu'il ne faut pas pénétrer dans l'espace considéré. L'infraction est consommée dès que l'auteur s'introduit dans le domaine clos sans l'autorisation de celui qui a le pouvoir d'en disposer (ATF 128 IV 81 consid. 4a ; ATF 108 IV 33 précité consid. 5b).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précité consid. 3a ; ATF 118 IV 167 consid. 1c ; TF 6B_591/2022 du 4 mai 2023 consid. 2.1 et les références citées). Selon l’ATF 90 IV 74, la volonté de l’ayant droit de ne pas laisser entrer une personne dans un espace déterminé peut être valablement exprimée non seulement pas l’ayant droit lui-même ou, s’il s’agit d’une personne morale, par ses organes, mais aussi par de simples employés de l’ayant droit. Toutefois, des arrêts postérieurs ont quelque peu nuancé cette jurisprudence. Le Tribunal fédéral a ainsi jugé que, pour que l’infraction de violation de domicile soit réalisée, il fallait que l'auteur agisse contre la volonté de l'ayant droit, soit, s'agissant des locaux de l'administration ou de lieux publics, le fonctionnaire compétent selon les dispositions et les règles du droit public applicables (ATF 112 IV 31 consid. 3 ; ATF 100 IV 52 consid. 3 ; TF 6B_1056/2013 du 20 août 2014 consid. 2.1). C’est le droit cantonal qui détermine souverainement quels sont les organes par l’intermédiaire desquels le canton dispose des locaux qui lui appartiennent (ATF 100 IV 52 précité consid. 3). Il faut déterminer si la volonté de l'ayant droit était suffisamment reconnaissable. Lorsqu'il s'agit de lieux voués à une tâche de l'Etat, l'accès peut être interdit par des indications spéciales ou résulter de la destination des lieux. Il n'est pas nécessaire que ces restrictions soient expressément formulées par l'ayant droit, puisqu'elles peuvent aussi résulter des circonstances. Ainsi, 13702X</w:t>
      </w:r>
    </w:p>
    <w:p>
      <w:r>
        <w:t>- 30 - lorsqu'un lieu est ouvert au public dans un but précis et que ce but est clairement reconnaissable pour chacun, celui qui y pénètre en poursuivant d'autres objectifs agit contre la volonté de l'ayant droit (ATF 108 IV 33 précité consid. 5b ; TF 6B_1056/2013 précité consid. 2.1 et la référence citée).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(Corboz, Les infractions en droit suisse, vol. I, 3e éd., Berne 2010, nn. 45 ss ad art. 186 CP).</w:t>
      </w:r>
    </w:p>
    <w:p>
      <w:r>
        <w:rPr>
          <w:b/>
        </w:rPr>
        <w:t>E. 6.3</w:t>
      </w:r>
    </w:p>
    <w:p>
      <w:r>
        <w:t>On ne saurait suivre l’appelant lorsqu’il prétend, aux débats d’appel, qu’il n’avait pas la volonté de demeurer dans les locaux de la N.________, où il aurait été enfermé malgré lui. On retiendra au contraire qu’il s’est enfermé à dessein pour pouvoir passer la nuit sur place. Il y a en effet lieu de préférer ses premières déclarations, qui n’étaient pas encore dictées par la procédure, selon lesquelles il a en substance expliqué qu’il n’était pas allé manger à la N.________, qu’il était allé aux toilettes, où il était resté entre deux et trois heures, et qu’il avait finalement décidé de rester dans les locaux jusqu’au lendemain matin (cf. PV aud. 5, p. 5). Or, quand bien même personne ne lui aurait intimé l’ordre de partir, il n'en demeure pas moins que les lieux en question sont ouverts dans un but précis, à savoir [...]. Ainsi, l’appelant est resté sur place pour y passer la nuit alors que ces lieux ne sont pas ouverts dans ce but, ce qu’il ne pouvait ignorer, étant un habitué de l’établissement. Il a ainsi agi sans droit et contre la volonté de l’ayant droit. Ce grief doit donc être rejeté et la condamnation de l’appelant pour violation de domicile doit être confirmée, les éléments objectifs et subjectifs de cette infraction étant réalisés. 13702X</w:t>
      </w:r>
    </w:p>
    <w:p>
      <w:r>
        <w:t>- 31 -</w:t>
      </w:r>
    </w:p>
    <w:p>
      <w:r>
        <w:rPr>
          <w:b/>
        </w:rPr>
        <w:t>E. 7.1</w:t>
      </w:r>
    </w:p>
    <w:p>
      <w:r>
        <w:t>L’appelant, qui plaide sa libération de plusieurs chefs d’accusation, conteste en tout état de cause la peine prononcée à son encontre, faisant valoir que son état psychique instable, ses problèmes sociaux, son alcoolisme et la blessure subie lors de l’altercation avec Z.________ n’auraient pas été correctement retenus à décharge.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6B_251/2025 et 6B_253/2025 du 6 août 2025 consid. 3.1 ; TF 6B_796/2024 du 20 janvier 2025 consid. 1.1).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13702X</w:t>
      </w:r>
    </w:p>
    <w:p>
      <w:r>
        <w:t>- 32 -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6B_328/2024 du 27 février 2025 consid. 2.3.1).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6B_328/2024 précité consid. 2.3.1).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ATF 127 IV 101 consid. 2b ; TF 6B_1242/2023 du 2 octobre 2024 consid. 4.1.3).</w:t>
      </w:r>
    </w:p>
    <w:p>
      <w:r>
        <w:rPr>
          <w:b/>
        </w:rPr>
        <w:t>E. 7.2.3</w:t>
      </w:r>
    </w:p>
    <w:p>
      <w:r>
        <w:t>Aux termes de l'art. 115 al. 1 let. b LEI (loi fédérale du 16 décembre 2005 sur les étrangers et l'intégration ; RS 142.20), est puni d'une peine privative de liberté d'un an au plus ou d'une peine pécuniaire quiconque séjourne illégalement en Suisse, notamment après l'expiration de la durée du séjour non soumis à autorisation ou du séjour autorisé. 13702X</w:t>
      </w:r>
    </w:p>
    <w:p>
      <w:r>
        <w:t>- 33 - Cette disposition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 ATF 135 IV 6 consid. 3.2 ; TF 6B_95/2023 du 12 juillet 2023 consid. 2.2).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précité consid. 1.1 ; ATF 135 IV 6 précité consid. 4.2 ; TF 6B_95/2023 précité consid. 2.2 ; TF 6B_275/2022 du 2 septembre 2022 consid. 2.13).</w:t>
      </w:r>
    </w:p>
    <w:p>
      <w:r>
        <w:rPr>
          <w:b/>
        </w:rPr>
        <w:t>E. 7.2.4</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 TF 6B_796/2024 précité consid. 1.2 ; cf. ATF 145 IV 1 consid. 1.3). 13702X</w:t>
      </w:r>
    </w:p>
    <w:p>
      <w:r>
        <w:t>- 34 -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précité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précité consid. 2.3.3 ; ATF 138 IV 120 consid. 5.2 ; TF 6B_87/2022 du 13 octobre 2022 consid. 2.3). La peine complémentaire est constituée de la différence entre cette peine d'ensemble et la peine de base, à savoir celle prononcée précédemment (ATF 141 IV 61 précité consid. 6.1.2).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consid. 1.3 ; TF 6B_144/2019 du 17 mai 2019 consid. 4.3.1 ; TF 6B_911/2018 du 5 février 2019 consid. 1.2.2).</w:t>
      </w:r>
    </w:p>
    <w:p>
      <w:r>
        <w:rPr>
          <w:b/>
        </w:rPr>
        <w:t>E. 7.2.5</w:t>
      </w:r>
    </w:p>
    <w:p>
      <w:r>
        <w:t>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6B_252/2024 du 2 décembre 2024 consid. 3.1). Les conditions subjectives auxquelles l'art. 42 CP soumet l'octroi du sursis intégral 13702X</w:t>
      </w:r>
    </w:p>
    <w:p>
      <w:r>
        <w:t>- 35 -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6B_252/2024 précité). Le défaut de prise de conscience de la faute peut justifier un pronostic défavorable, car seul celui qui se repent de son acte mérite la confiance que l'on doit pouvoir accorder au condamné bénéficiant du sursis (TF 6B_252/2024 précité ; TF 6B_1092/2023 du 24 mai 2024 consid. 5.1 ; TF 6B_1137/2022 du 7 juillet 2023 consid. 5.1).</w:t>
      </w:r>
    </w:p>
    <w:p>
      <w:r>
        <w:rPr>
          <w:b/>
        </w:rPr>
        <w:t>E. 7.3</w:t>
      </w:r>
    </w:p>
    <w:p>
      <w:r>
        <w:t>Comme on l’a vu, c’est en vain que l’appelant plaide sa libération des chefs d’accusation de lésions corporelles simples qualifiées, de violation de domicile et de contrainte sexuelle. L’absorption de la tentative de contrainte sexuelle par la contrainte sexuelle n’a par ailleurs aucune incidence sur la culpabilité de W.________, qui doit être qualifiée de lourde. Avec les premiers juges, il y a lieu de relever que l’appelant s’en est pris, de façon totalement égoïste et gratuite, à deux des biens juridiques protégés les plus précieux, à savoir l’intégrité physique et sexuelle de Z.________. Mû par ses pulsions sexuelles et par le désir de maîtriser la plaignante, qui ne se laissait pas faire, il n’a pas hésité à faire 13702X</w:t>
      </w:r>
    </w:p>
    <w:p>
      <w:r>
        <w:t>- 36 - usage d’un couteau. Il a fait preuve de mépris total et d’esprit de vengeance, s’en prenant à sa victime car elle n’avait selon lui pas d’ordre à lui donner, n’étant qu’une femme de ménage. Ce comportement est odieux. S’il est exact que le parcours de vie de l’appelant et sa situation sociale sont difficiles, éléments dont il sera tenu compte à décharge, son attitude après les faits et au cours de la procédure a été déplorable. Il n’a en effet formulé aucun regret ni aucune excuse, allant jusqu’à inverser les rôles et se faire passer pour la victime d’une femme particulièrement sournoise et dangereuse. Cette attitude dénote une capacité d’introspection inexistante. A charge, il convient en outre de retenir le concours d’infractions et les très nombreux antécédents de l’appelant, lequel a déjà fait l’objet de vingt condamnations en une dizaine d’années. L’appelant est en définitive reconnu coupable de lésions corporelles simples qualifiées, violation de domicile, contrainte sexuelle, infraction à la LEI et contravention à la LStup. Sous réserve de la contravention commise, qui n’est passible que d’une amende, une peine privative de liberté s’impose pour sanctionner les autres infractions retenues à son encontre, au vu de ses antécédents et de son absence totale de prise de conscience de la gravité de ses actes. Il y a donc concours au sens de l’art. 49 al. 1 CP. Les infractions de lésions corporelles simples qualifiées et de contrainte sexuelle sont les plus graves et justifient le prononcé d’une peine privative de liberté de quatorze mois chacune. Les effets du concours conduisent à l’augmentation de ces peines de base de deux mois pour sanctionner la violation de domicile. Aucune peine supplémentaire ne sera infligée à l’appelant pour sanctionner l’infraction à la LEI, dès lors que sa situation irrégulière ne résulte en l’espèce pas d’une nouvelle décision de sa part, mais procède de la même intention que celle qui a présidé aux séjours illégaux pour lesquels il a déjà été jugé et que la somme des peines déjà prononcées à son encontre à raison de ce délit continu a déjà atteint la peine maximale d’un an prévue par la loi. La condamnation de l’appelant à une peine privative de liberté de 30 mois doit donc être confirmée. 13702X</w:t>
      </w:r>
    </w:p>
    <w:p>
      <w:r>
        <w:t>- 37 - Compte tenu de la quotité de la peine, il y a lieu d’examiner si les conditions d’un sursis partiel à l’exécution de celle-ci sont remplies. En l’espèce, le pronostic est défavorable, compte tenu notamment des circonstances de l'infraction, des nombreux antécédents de l’appelant, de sa situation personnelle précaire et de sa prise de conscience inexistante. L’octroi du sursis partiel est donc exclu. Enfin, la peine d’amende d’un montant de 500 fr. prononcée pour sanctionner la contravention à la LStup, qui n’est au demeurant pas contestée, est adéquate compte tenu de la situation de l’appelant et de la faute commise, et doit être confirmée, tout comme la peine privative de liberté de substitution de cinq jours à exécuter en cas de non-paiement fautif. Les faits objets du présent jugement constitutifs d’infraction à la LEI et de contravention à la LStup sont antérieurs aux condamnations de l’appelant des 25 octobre 2023 et 21 août 2024. Les faits constitutifs de lésions corporelles simples qualifiées, contrainte sexuelle et violation de domicile sont uniquement antérieurs à sa condamnation du 21 août 2024 à une peine pécuniaire de 60 jours-amende à 30 fr. le jour avec sursis pendant deux ans et à une amende de 360 fr. pour vol, recel et séjour illégal. Il n’y a cependant pas de concours rétrospectif en l’espèce, dès lors qu’aucune nouvelle peine ne doit être prononcée pour sanctionner le séjour illégal de l’appelant, que la contravention à la LStup ne peut pas conduire au prononcé d’une peine d’ensemble et que le genre de peine à prononcer dans la présente procédure diffère de celui prononcé le 21 août 2024 par le Ministère public du canton du Jura. Il n’y a dès lors pas lieu de prononcer une peine d’ensemble, la peine étant cumulative.</w:t>
      </w:r>
    </w:p>
    <w:p>
      <w:r>
        <w:rPr>
          <w:b/>
        </w:rPr>
        <w:t>E. 7.4</w:t>
      </w:r>
    </w:p>
    <w:p>
      <w:r>
        <w:t>Conformément à l’art. 51 CP, la détention subie depuis le jugement de première instance doit être déduite de la peine privative de liberté prononcée. 13702X</w:t>
      </w:r>
    </w:p>
    <w:p>
      <w:r>
        <w:t>- 38 - La déduction de la peine prononcée de vingt jours à titre de réparation du tort moral pour les trente-neuf jours passés dans des conditions illicites de détention en zone carcérale sera également confirmée. Enfin, pour garantir l’exécution de la peine et de l’expulsion et au vu notamment du risque de fuite présenté par l’intéressé, le maintien de l’appelant en détention pour des motifs de sûreté sera ordonné.</w:t>
      </w:r>
    </w:p>
    <w:p>
      <w:r>
        <w:rPr>
          <w:b/>
        </w:rPr>
        <w:t>E. 8</w:t>
      </w:r>
    </w:p>
    <w:p>
      <w:r>
        <w:t>L’appelant ne conteste l’expulsion à vie prononcée à son encontre qu’en raison de sa libération du chef de contrainte sexuelle, hypothèse qui n’est pas réalisée en l’espèce. Cette mesure sera confirmée, l’appelant remplissant les conditions des art. 66a al. 1 let. h et 66b al. 2 CP, dès lors qu’il n’a aucune attache avec la Suisse et qu’il a récidivé durant une première mesure d’expulsion.</w:t>
      </w:r>
    </w:p>
    <w:p>
      <w:r>
        <w:rPr>
          <w:b/>
        </w:rPr>
        <w:t>E. 9</w:t>
      </w:r>
    </w:p>
    <w:p>
      <w:r>
        <w:t>L’appelant conclut au rejet de la requête d’indemnité et des conclusions civiles déposées par Z.________. Dès lors que sa condamnation pour l’ensemble des faits dénoncés par la plaignante est confirmée, cette conclusion doit être rejetée.</w:t>
      </w:r>
    </w:p>
    <w:p>
      <w:r>
        <w:rPr>
          <w:b/>
        </w:rPr>
        <w:t>E. 10</w:t>
      </w:r>
    </w:p>
    <w:p>
      <w:r>
        <w:t>L’appelant conclut enfin à l’allocation d’une indemnité au sens de l’art. 429 CPP, sans toutefois préciser à quel titre. Dès lors que sa condamnation est confirmée, cette conclusion doit être rejetée, étant au demeurant précisé que son avocat a été désigné en qualité de défenseur d’office, désignation qui vaut également pour la procédure d’appel, de sorte qu’il ne peut en tout état de cause pas prétendre à une indemnité pour les dépenses occasionnées par la procédure. 13702X</w:t>
      </w:r>
    </w:p>
    <w:p>
      <w:r>
        <w:t>- 39 -</w:t>
      </w:r>
    </w:p>
    <w:p>
      <w:r>
        <w:rPr>
          <w:b/>
        </w:rPr>
        <w:t>E. 11</w:t>
      </w:r>
    </w:p>
    <w:p>
      <w:r>
        <w:t>En définitive, l’appel de W.________ doit être partiellement admis et le jugement entrepris réformé dans le sens des considérants qui précèdent.</w:t>
      </w:r>
    </w:p>
    <w:p>
      <w:r>
        <w:rPr>
          <w:b/>
        </w:rPr>
        <w:t>E. 11.1</w:t>
      </w:r>
    </w:p>
    <w:p>
      <w:r>
        <w:t>Me Alexandre Saillet, défenseur d’office de W.________, a produit une liste d’opérations faisant état de 12.90 heures d’activité d’avocat entre le 24 février et le 16 septembre 2025, y compris la durée de l’audience d’appel estimée à 1.50 heure, de deux vacations, de frais de copies à hauteur de 61 fr. 05 et de débours forfaitaires à hauteur de 2 % des honoraires, TVA à 8,1 % en sus. Il n’y a pas lieu de s’écarter du temps ainsi allégué, qui est justifié. Conformément à l’art. 3bis al. 1 RAJ (règlement sur l’assistance judiciaire en matière civile du 7 décembre 2010 ; BLV 211.02.3), applicable par renvoi de l’art. 26b TFIP (tarif des frais de procédure et indemnités en matière pénale du 28 septembre 2010 ; BLV 312.03.1), l’ensemble des débours – copies comprises – sera indemnisé sur une base forfaitaire à concurrence de 2 % du montant des honoraires admis. C’est ainsi une indemnité de 2’819 fr. 75, correspondant à 12.90 heures d’activité d’avocat au tarif horaire de 180 fr., par 2’322 fr., à des débours forfaitaires à hauteur de 2 % des honoraires admis, par 46 fr. 45, à deux vacations à 120 fr., par 240 fr., et à la TVA au taux de 8,1 %, par 211 fr. 30, qui sera allouée à Me Alexandre Saillet pour la procédure d’appel. La liste des opérations produite par Me Amir Djafarrian, conseil juridique gratuit de Z.________, fait état de 5.83 heures d’activité d’avocat breveté au tarif horaire de 180 fr. et de 8.08 heures d’activité d’avocat- stagiaire au tarif horaire de 110 fr., hors audience d’appel, et d’une vacation, débours à hauteur de 5 % et TVA au taux de 8,1 % en sus, dont 3 heures dévolues à l’analyse du jugement de première instance et à l’étude du dossier, 30 minutes à une demande d’indemnisation LAVI, 1 h 45 aux recherches juridiques et à la rédaction de déterminations sur la déclaration d’appel, 1 h 10 consacrée à un entretien avec la plaignante, 4 h 30 dévolues à la préparation de l’audience d’appel et 10 minutes à l’envoi de la liste d’opérations au Tribunal cantonal. Les opérations annoncées sont excessives. Il y a en particulier lieu de retrancher la durée 13702X</w:t>
      </w:r>
    </w:p>
    <w:p>
      <w:r>
        <w:t>- 40 - consacrée à l’étude du dossier avant même la reddition du jugement de première instance motivé, de ramener à 1 heure la durée dévolue à l’analyse du jugement de première instance, de retrancher le temps consacré à la demande d’indemnisation LAVI, de retrancher le temps consacré à la prise de connaissance de la déclaration d’appel par l’avocat- stagiaire Adriano Cardillo, qui n’est pour le surplus pas intervenu dans le dossier, de ramener à 2 heures la durée consacrée à la préparation de l’audience d’appel, dès lors que les avocats avaient déjà une parfaite connaissance du dossier et que leur cliente était uniquement intimée à la procédure, et de retrancher le temps dévolu à l’envoi de la liste des opérations à la Cour de céans, s’agissant d’un travail de secrétariat dépourvu d’investissement intellectuel d’avocat. Il sera par ailleurs tenu compte de la durée des débats d’appel et 1 h 30 sera ajoutée à ce titre, ainsi qu’une vacation. Enfin, conformément à l’art. 3bis al. 1 RAJ, les débours dans le cadre de la procédure d’appel seront indemnisés sur une base forfaitaire à hauteur de 2 % des honoraires admis, et non de 5 % comme en première instance judiciaire. C’est ainsi une indemnité de 1'754 fr. 30 qui sera allouée à Me Amir Djafarrian pour la procédure d’appel, correspondant à 5 h 20 d’activité d’avocat breveté au tarif horaire de 180 fr., par 960 fr., et à 4 h 40 d’activité d’avocat-stagiaire au tarif horaire de 110 fr., par 513 fr. 35, à des débours forfaitaires à hauteur de 2 % des honoraires, par 29 fr. 50, à une vacation à 120 fr. et à la TVA au taux de 8,1 %, par 131 fr. 45.</w:t>
      </w:r>
    </w:p>
    <w:p>
      <w:r>
        <w:rPr>
          <w:b/>
        </w:rPr>
        <w:t>E. 11.2</w:t>
      </w:r>
    </w:p>
    <w:p>
      <w:r>
        <w:t>Vu l’issue de la cause, les frais de la procédure d’appel, par 8'354 fr. 05, constitués en l’espèce de l'émolument de jugement, par 3’780 fr. (art. 21 al. 1 et 2 TFIP), ainsi que des indemnités allouées au défenseur d’office de W.________, par 2’819 fr. 75, et au conseil juridique gratuit de Z.________, par 1'754 fr. 30, seront mis à la charge de l’appelant, qui n’obtient gain de cause que sur des points secondaires, qu’il n’a au demeurant pas plaidés (art. 428 al. 1 CPP). W.________ sera tenu de rembourser à l’Etat les indemnités en faveur de son défenseur d’office et du conseil juridique gratuit de la plaignante lorsque sa situation financière le permettra (art. 135 al. 4 CPP). 13702X</w:t>
      </w:r>
    </w:p>
    <w:p>
      <w:r>
        <w:t>- 41 - Il ne sera pas donné suite à la requête de Me Amir Djafarrian tendant à ce qu’une indemnité de 4'186 fr. 69 lui soit allouée, à la charge de W.________, pour la différence entre son indemnité de conseil d’office et celle qu’il aurait perçu en tant que conseil de choix, compte tenu de l’expulsion prononcée à l’encontre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