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PE24.010790 vom 13. Februar 2025</w:t>
      </w:r>
    </w:p>
    <w:p>
      <w:r>
        <w:t>VD Tribunal cantonal, 2025-02-13, FR</w:t>
      </w:r>
    </w:p>
    <w:p>
      <w:r>
        <w:rPr>
          <w:b/>
        </w:rPr>
        <w:t xml:space="preserve">Quelle: </w:t>
      </w:r>
      <w:r>
        <w:t>https://mcp.opencaselaw.ch/entscheid/vd_gerichte_PE24.010790</w:t>
      </w:r>
    </w:p>
    <w:p>
      <w:r>
        <w:t>FR: VD_GERICHTE PE24.010790 du 13 février 2025</w:t>
      </w:r>
    </w:p>
    <w:p>
      <w:r>
        <w:t>IT: VD_GERICHTE PE24.010790 del 13 febbraio 2025</w:t>
      </w:r>
    </w:p>
    <w:p>
      <w:pPr>
        <w:pStyle w:val="Heading2"/>
      </w:pPr>
      <w:r>
        <w:t>Erwägungen</w:t>
      </w:r>
    </w:p>
    <w:p>
      <w:r>
        <w:rPr>
          <w:b/>
        </w:rPr>
        <w:t>E. 4</w:t>
      </w:r>
    </w:p>
    <w:p>
      <w:r>
        <w:t>En définitive, le recours doit être admis et l’ordonnance entreprise annulée, le dossier de la cause étant renvoyé au Ministère public pour qu’il procède dans le sens des considérants. Vu le sort du recours, les frais de la procédure, constitués du seul émolument d’arrêt, par 880 fr. (art. 20 al. 1 TFIP [[tarif des frais de procédure et indemnités en matière pénale du 28 septembre 2010 ; BLV 312.03.1]), seront laissés à la charge de l’Etat (art. 423 al. 1 CPP). L’avance de frais de 770 fr. versée par le recourant à titre de sûretés leur sera restituée (art. 383 al. 1 CPP ; art. 7 TFIP). Le recourant, qui a procédé avec l’assistance d’un conseil de choix et qui ont obtenu gain de cause, a droit à une indemnité pour les dépenses obligatoires occasionnées par la procédure de recours, à la charge de l’Etat. Au vu de l’acte de recours et de la nature de l’affaire, celle-ci sera fixée à 1’050 fr., correspondant à 3h30 d’activité nécessaire d’avocat au tarif horaire de 300 fr., auxquels il convient d’ajouter des débours forfaitaires à concurrence de 2 %, par 21 fr., plus 8.1 % de TVA sur le tout, par 86 fr.75 , soit à 1’158 fr. au total en chiffres arrondis.</w:t>
      </w:r>
    </w:p>
    <w:p>
      <w:r>
        <w:t>- 9 - Par ces motifs, la Chambre des recours pénale prononce : I. Le recours est admis. II. L’ordonnance du 5 septembre 2024 est annulée. III. Le dossier de la cause est renvoyé au Ministère public de l’arrondissement du Nord vaudois pour qu’il procède dans le sens des considérants. IV. Les frais d’arrêt, par 880 fr. (huit cent huitante francs), sont laissés à la charge de l’Etat. V. L’avance de frais de 770 fr. (sept cent septante francs) versée par S.________ à titre de sûretés lui est restituée. VI. Une indemnité de 1’158 fr. (mille cent cinquante-huit francs) est allouée à S.________ pour les dépenses obligatoires occasionnées par la procédure de recours, à la charge de l’Etat. VII. L’arrêt est exécutoire. Le président : La greffière : Du Le présent arrêt, dont la rédaction a été approuvée à huis clos, est notifié, par l'envoi d'une copie complète, à : - Me Pierre-Xavier Luciani, avocat (pour S.________), - Ministère public central, et communiqué à : - M. le Procureur de l’arrondissement du Nord vaudois,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