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PE24.010721 vom 16. Januar 2024</w:t>
      </w:r>
    </w:p>
    <w:p>
      <w:r>
        <w:t>VD Tribunal cantonal, 2024-01-16, FR</w:t>
      </w:r>
    </w:p>
    <w:p>
      <w:r>
        <w:rPr>
          <w:b/>
        </w:rPr>
        <w:t xml:space="preserve">Quelle: </w:t>
      </w:r>
      <w:r>
        <w:t>https://mcp.opencaselaw.ch/entscheid/vd_gerichte_PE24.010721</w:t>
      </w:r>
    </w:p>
    <w:p>
      <w:r>
        <w:t>FR: VD_GERICHTE PE24.010721 du 16 janvier 2024</w:t>
      </w:r>
    </w:p>
    <w:p>
      <w:r>
        <w:t>IT: VD_GERICHTE PE24.010721 del 16 gennaio 2024</w:t>
      </w:r>
    </w:p>
    <w:p>
      <w:pPr>
        <w:pStyle w:val="Heading2"/>
      </w:pPr>
      <w:r>
        <w:t>Erwägungen</w:t>
      </w:r>
    </w:p>
    <w:p>
      <w:r>
        <w:rPr>
          <w:b/>
        </w:rPr>
        <w:t>E. 2.1</w:t>
      </w:r>
    </w:p>
    <w:p>
      <w:r>
        <w:t>X.________ requiert l’annulation des ordonnances pénales rendues les 6 juin et 15 octobre 2024, le condamnant respectivement pour séjour illégal et rupture de ban, au motif que son autorisation d’établissement perdurait, l’expulsion prononcée par jugement du 16 janvier 2024 ayant été annulée.</w:t>
      </w:r>
    </w:p>
    <w:p>
      <w:r>
        <w:rPr>
          <w:b/>
        </w:rPr>
        <w:t>E. 2.2</w:t>
      </w:r>
    </w:p>
    <w:p>
      <w:r>
        <w:t>L'art. 410 al. 1 let. a CPP reprend la double exigence posée à l’art. 385 CP (Code pénal suisse du 21 décembre 1937 ; RS 311.0) selon laquelle les faits ou moyens de preuve invoqués doivent être nouveaux et</w:t>
      </w:r>
    </w:p>
    <w:p>
      <w:r>
        <w:t>- 5 -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précité consid. 2.3 ; TF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précité consid. 1.1 ; ATF 130 IV 72 précité consid. 2.3).</w:t>
      </w:r>
    </w:p>
    <w:p>
      <w:r>
        <w:t>- 6 -</w:t>
      </w:r>
    </w:p>
    <w:p>
      <w:r>
        <w:rPr>
          <w:b/>
        </w:rPr>
        <w:t>E. 2.3</w:t>
      </w:r>
    </w:p>
    <w:p>
      <w:r>
        <w:t>En l’espèce, le requérant explique que les ordonnances litigieuses ont été rendues alors qu’il avait été expulsé par jugement par défaut du 16 janvier 2024, son permis d’établissement n’ayant alors pas été renouvelé. Toutefois, il en avait demandé le relief et un nouveau jugement a été rendu le 13 janvier 2025, dans lequel il a été renoncé à son expulsion. Il souligne qu’à la suite de ce dernier jugement, le SPOP l’a informé, par courrier du 4 mars 2025, que son autorisation d’établissement perdurait tant qu’elle n’avait pas été révoquée. Il apparaît, à la lecture des pièces produites par le requérant, que les conditions de l’art. 410 al. 1 let. a CPP sont réunies. Le fait que le requérant bénéficiait toujours de son autorisation d’établissement lorsque les ordonnances pénales litigieuses ont été rendues, ce au motif que le juge pénal a renoncé à son expulsion par jugement du 13 janvier 2025, constitue un fait nouveau et sérieux, qui doit mener à un nouvel examen de la cause. Les motifs de révision sont ainsi fondés et les ordonnances des 6 juin et 15 octobre 2024 doivent être annulées. Il convient de renvoyer les dossiers des causes aux ministères publics concernés pour nouvelle décision dans le sens du présent considérant (art. 413 al. 2 let a CPP). Il résulte de ce qui précède que les demandes de révision doivent être admises. L’ordonnance pénale du 15 octobre 2024 doit être réformée en ce sens que X.________ est libéré du chef d’infraction de rupture de ban (art. 413 al. 2 let. b CPP). L’ordonnance pénale du 6 juin 2024 doit être annulée et le dossier de la cause renvoyé au Ministère public de l’arrondissement du Nord vaudois pour nouvelle décision dans le sens du considérant qui précède.</w:t>
      </w:r>
    </w:p>
    <w:p>
      <w:r>
        <w:rPr>
          <w:b/>
        </w:rPr>
        <w:t>E. 3</w:t>
      </w:r>
    </w:p>
    <w:p>
      <w:r>
        <w:t>Le requérant a sollicité l’assistance judiciaire pour les procédures de révision. Cette requête doit être admise. Me Kastriot Lubishtani, défenseur d’office du requérant, a produit une liste des opérations indiquant 6h42 d’activité. Il n’y a pas lieu</w:t>
      </w:r>
    </w:p>
    <w:p>
      <w:r>
        <w:t>- 7 - de s’en écarter.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1'206 francs. Il faut ajouter 2 % pour les débours forfaitaires (art. 3bis al. 1 RAJ par renvoi de l’art. 26b TFIP), soit 24 fr. 10 et 8.1 % de TVA sur le tout, soit 99 fr. 65, de sorte que l'indemnité est arrêtée à 1'329 fr. 75. Vu l’issue du litige, les frais de la procédure de révision, par 1'989 fr. 75, constitués en l’espèce de l’émolument de jugement, par 660 fr. (art. 21 al. 1 TFIP par renvoi de l’art. 22 TFIP), et de l'indemnité due au défenseur d'office, par 1'329 fr. 75,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