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PE24.010657 vom 27. Februar 2025</w:t>
      </w:r>
    </w:p>
    <w:p>
      <w:r>
        <w:t>VD Tribunal cantonal, 2025-02-27, FR</w:t>
      </w:r>
    </w:p>
    <w:p>
      <w:r>
        <w:rPr>
          <w:b/>
        </w:rPr>
        <w:t xml:space="preserve">Quelle: </w:t>
      </w:r>
      <w:r>
        <w:t>https://mcp.opencaselaw.ch/entscheid/vd_gerichte_PE24.010657</w:t>
      </w:r>
    </w:p>
    <w:p>
      <w:r>
        <w:t>FR: VD_GERICHTE PE24.010657 du 27 février 2025</w:t>
      </w:r>
    </w:p>
    <w:p>
      <w:r>
        <w:t>IT: VD_GERICHTE PE24.010657 del 27 febbraio 2025</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la partie plaignante qui a qualité pour recourir (art. 382 al. 1 CPP), et satisfaisant aux conditions de forme prescrites (art. 385 al. 1 CPP), le recours est recevable. Les pièces nouvelles produites à l’appui du recours sont également recevables (cf. art. 389 al. 3 CPP ; TF 7B_1011/2023 du 11 janvier 2024 consid. 3.4 ; TF 1B_550/2022 du 17 novembre 2022 consid. 2.2).</w:t>
      </w:r>
    </w:p>
    <w:p>
      <w:r>
        <w:rPr>
          <w:b/>
        </w:rPr>
        <w:t>E. 2.1</w:t>
      </w:r>
    </w:p>
    <w:p>
      <w:r>
        <w:t>La recourante invoque une mauvaise appréciation des faits et une violation de l’art. 310 al. 1 let. a CPP et du principe « in dubio pro duriore ». Elle soutient que la situation factuelle et juridique n’est pas claire. Elle fait valoir qu’elle n’a appris que dans le cadre du procès qu’elle a ouvert devant la Chambre patrimoniale que, selon les pièces déposées par les défendeurs, les droits à la garantie qui lui avaient été cédés dans l’acte de vente avaient été ramenés de cinq à deux ans entre la date de la signature de l’acte de vente à terme et la vente définitive. Plus précisément, cette réduction a eu lieu dans le secret, et ce deux jours</w:t>
      </w:r>
    </w:p>
    <w:p>
      <w:r>
        <w:t>- 6 - seulement avant la signature de l’acte de vente et de la réquisition de transfert. Elle soutient que la tromperie est astucieuse car la réduction des droits à la garantie a été opérée par les mêmes personnes, à savoir A.X.________ et B.X.________ en leur qualité de vendeurs, d’une part, et en leur qualité de représentants des sociétés bénéficiaires de cette réduction, soit [...] et respectivement [...], d’autre part. Toujours selon la recourante, la réduction des droits a été opérée dans le secret, puisque, lors de la conclusion de la vente finale, les vendeurs n’avaient pas informé la recourante de cet état de fait, de sorte que celle-ci n’avait pas pu réagir. La réduction des droits a en outre été opérée à son détriment, puisqu’elle a diminué la valeur de la prestation contractuelle des vendeurs, qu’elle a enrichis par corollaire. A cet égard, la recourante invoque que, s’agissant d’un immeuble construit 18 mois avant la vente, la réduction des droits à la garantie de manière aussi drastique aurait influé notablement à la baisse sur le prix de vente. Enfin, la limitation des droits à la garantie a profité à des tiers, à savoir les deux sociétés précitées, qui ont refusé de prester pour la réfection de défauts dont elle chiffre le montant provisoire à 235'000 francs. Toujours selon la recourante, le fait que les vendeurs n’aient pas informé la recourante laisse penser que cette réduction de garantie a été faite de mauvaise foi. Enfin, la recourante avance l’hypothèse que les deux pièces envoyées à [...] le 19 octobre 2021 par A.X.________ pour [...] et [...] pourraient être des faux créés pour l’occasion. Leur utilisation dans le cadre du procès civil pourrait également justifier une suspicion d’escroquerie au procès commis au moyen de faux intellectuels. C’est la raison pour laquelle la recourante a requis la mise en œuvre de diverses mesures d’instruction (perquisition du matériel informatique des deux sociétés et des deux personnes visées dans la plainte, pour vérifier la date à laquelle les deux pièces en cause ont été rédigées, notamment).</w:t>
      </w:r>
    </w:p>
    <w:p>
      <w:r>
        <w:rPr>
          <w:b/>
        </w:rPr>
        <w:t>E. 2.2</w:t>
      </w:r>
    </w:p>
    <w:p>
      <w:r>
        <w:t>Conformément à l’art. 310 al. 1 CPP, le Ministère public rend immédiatement une ordonnance de non-entrée en matière s’il ressort de</w:t>
      </w:r>
    </w:p>
    <w:p>
      <w:r>
        <w:t>- 7 -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7B_630/2023 du 20 août 2024 consid. 3.2.1 : TF 6B_1177/2022 du 21 février 2023 consid. 2.1 ; TF 6B_933/2021 du 21 février 2022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w:t>
      </w:r>
    </w:p>
    <w:p>
      <w:r>
        <w:t>- 8 -</w:t>
      </w:r>
    </w:p>
    <w:p>
      <w:r>
        <w:rPr>
          <w:b/>
        </w:rPr>
        <w:t>E. 3.1</w:t>
      </w:r>
    </w:p>
    <w:p>
      <w:r>
        <w:t>Aux termes de l'art. 146 al. 1 CP, dans sa teneur actuelle (identique à celle en vigueur au moment des faits jusqu’au 30 juin 2023),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150 IV 169 consid. 5.1 ; ATF 147 IV 73 consid. 3.1 ; TF 6B_365/2024 et 6B_375/2024 du 28 janvier 2025 consid. 4.1.2 et les références citées). La tromperie peut également être réalisée par acte concluant, lorsqu'elle résulte, non pas des déclarations de l'auteur, mais de son comportement. Il y a tromperie par acte concluant lorsque l'on peut attribuer au comportement de l'auteur, dans les relations sociales, la valeur d'une déclaration. En ce sens, quiconque conclut un contrat manifeste en règle générale sa volonté interne d'exécuter sa prestation (ATF 147 IV 73 consid. 3.1 et les références citées ; TF 6B_1463/2020 du 5 janvier 2022 consid. 2.2.2).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(TF 6B_31/2021 du 7 avril 2022 consid. 2.2.1 et les références citées).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w:t>
      </w:r>
    </w:p>
    <w:p>
      <w:r>
        <w:t>- 9 -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6B_365/2024 et 6B_375/2024 précité consid. 4.1.2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6B_1092/2023 du 24 mai 2024 consid. 2.2 ; TF 6B_1044/2023 du 20 mars 2024 consid. 2.1).</w:t>
      </w:r>
    </w:p>
    <w:p>
      <w:r>
        <w:rPr>
          <w:b/>
        </w:rPr>
        <w:t>E. 3.2</w:t>
      </w:r>
    </w:p>
    <w:p>
      <w:r>
        <w:t>; TF 4A_106/2015 du 27 juillet 2015 consid. 5.1 et les références citées). La norme SIA 118 prévoit un unique délai de cinq ans, sans faire de distinction entre les défauts de la construction ou des autres ouvrages (cf. Chaix, op. cit., n. 43 ad art. 371 CO). 4. 4.1 En l’espèce, c’est à bon droit que la recourante invoque que les faits dénoncés sont susceptibles de réaliser les éléments constitutifs des infractions d’escroquerie et de faux dans les titres. 4.2 Tout d’abord, il y a lieu de constater que, selon le régime général prévu par la loi auquel le contrat de vente à terme renvoyait, le délai de prescription des droits des maîtres de l’ouvrage qu’étaient les vendeurs, à l’égard des entrepreneurs, architectes et ingénieurs était donc de cinq ans dès la livraison de l’ouvrage si celui-ci était un ouvrage immobilier ou un ouvrage mobilier intégré à un ouvrage immobilier (cf. supra, consid. 3.3). Dans la mesure où ce régime est de droit dispositif, ce délai pouvait être réduit ou prolongé. Si l’ouvrage a été livré le 11 mars 2019 comme le prétendent [...] et [...], le délai de prescription ordinaire était donc échu le 11 mars 2024. La réduction de ce délai à la date du 11 mars 2021 présentait donc un avantage indéniable pour [...] et pour [...] ; corollairement, il présentait un désavantage majeur pour la recourante, les entrepreneurs pouvant exciper de la prescription des droits de la recourante trois mois après la passation de la vente définitive même pour des défauts ne se révélant qu’après ce délai de trois mois. Le fait que, dans le cadre de l’exercice de ses droits à la garantie, la recourante se voie opposer des attestations qui, à ses dires, n’ont pas été portées à sa connaissance avant la conclusion de la vente définitive, d’une part, et que les vendeurs se confondent avec les entrepreneurs bénéficiaires de la dérogation au système légal, ou au système instauré par la norme SIA 118, d’autre part, peuvent objectivement nourrir la suspicion.</w:t>
      </w:r>
    </w:p>
    <w:p>
      <w:r>
        <w:t>- 12 - C’est dans ce cadre qu’il faut examiner les éventuelles infractions qui ont pu entourer la passation de la vente immobilière ou l’exercice par la recourante de ses droits à la garantie. Il convient d’envisager deux hypothèses comme le fait la recourante : d’une part, le fait que les deux attestations jointes au courrier du 19 octobre 2021 ont été antidatées par leurs auteurs, d’autre part, qu’elles ont bien été confectionnées le 16 décembre 2020. 4.3 Dans la première hypothèse, à la date de la passation du contrat de vente immobilier définitif, le 18 décembre 2020, aucune limitation de la durée de la garantie n’avait été prévue entre les maîtres de l’ouvrage et l’entrepreneur général ou les entrepreneurs. Dans ce cas, lesdites attestations seraient des faux intellectuels. Contrairement à ce que retient l’ordonnance attaquée, ces actes ont manifestement été établis en vue de prouver leur contenu auprès de tout tiers, comme cela ressort de leur libellé (« A QUI DE DROIT ») ; ils sont donc, du moins pour leurs auteurs, propres et destinés à prouver des faits ayant une portée juridique, à savoir la durée de la garantie offerte par [...] et par [...] aux maîtres de l’ouvrage. De ce point de vue et dans l’hypothèse de la confection de documents antidatés, la commission de l’infraction de faux dans les titres ne pourrait donc pas être exclue. 4.4 Le(s) contrat(s) passé(s) entre les maitres de l’ouvrage et futurs vendeurs, et les divers entrepreneurs qui sont intervenus sur le chantier de construction ne sont pas au dossier. Il n’est ainsi pas possible de savoir quel a été, contractuellement, la durée de la garantie des défauts convenue au départ, sachant que, à défaut de précision dans le contrat, c’est le régime de l’art. 371 CO qui s’appliquerait, avec un délai de cinq ans pour les ouvrages immobiliers (cf. supra, consid. 3.3). La recourante invoque le contenu du « Descriptif des travaux » établi le 28 février 2017 par [...], à l’attention des maîtres de l’ouvrage, qui indique que « Les travaux seront régis par les normes SIA en vigueur », et l’art. 180 al. 1 de la Norme SIA 118 qui prévoit que les droits du maître en cas de défaut se prescrivent par cinq ans. Il n’est pas certain</w:t>
      </w:r>
    </w:p>
    <w:p>
      <w:r>
        <w:t>- 13 - que ce descriptif soit le document contractuel final ayant lié les maîtres de l’ouvrage à l’entreprise générale. Toutefois, à ce stade, il s’agit d’un indice selon lequel, à la date de la négociation, puis de la conclusion de la vente à terme, la norme SIA 118 a pu être intégrée au contrat et que les droits de garantie cédés à terme par les vendeurs à l’acheteuse se prescrivaient par cinq ans. Si les attestations en cause ne sont pas antidatées, et ont bien été établies le 16 décembre 2020, soit juste avant la passation de l’acte de vente immobilier définitif, se posera la question de leur portée et du caractère éventuellement trompeur de l’attitude des vendeurs. En effet, ces attestations sont apparemment des actes unilatéraux, émanant de l’entreprise générale [...] et de l’une des entreprises ayant réalisé des travaux sur l’immeuble, [...]. Sur le principe, de leur propre chef, les entrepreneurs, cocontractants des maîtres de l’ouvrage, n’ont pas le pouvoir de diminuer unilatéralement la durée des droits à la garantie ; la dérogation au régime légal doit en effet être contractuelle (cf. supra, consid. 3.3). En l’occurrence, il fallait donc l’accord des maîtres de l’ouvrage. Toutefois, comme déjà mentionné, les prévenus étaient potentiellement doublement parties à ces actes juridiques, en tant que vendeurs à terme et maîtres de l’ouvrage, d’une part, et en tant que représentants de l’entreprise générale [...] (pour A.X.________ et C.X.________) et respectivement d’une des entreprises ayant réalisé des travaux sur l’immeuble, [...] (pour B.X.________), d’autre part. Cette confusion entre vendeurs et entrepreneurs implique donc que, en pratique, A.X.________, C.X.________ et B.X.________, en qualité de maître d’œuvre, pouvaient unilatéralement décider de modifier les droits à la garantie pour les défauts qu’ils détenaient contre leurs propres entreprises soit [...] et [...]. En tant que parties venderesses sur le point de signer un contrat de vente définitif et maîtres de l’ouvrage, la péjoration volontaire de leurs droits à la garantie des défauts ne pourrait se comprendre que par la volonté d’améliorer d’autant la situation des deux sociétés dont ils sont les uniques ayants-droits, sociétés qui seraient susceptibles de devoir</w:t>
      </w:r>
    </w:p>
    <w:p>
      <w:r>
        <w:t>- 14 - réparer les défauts après le transfert de propriété pendant encore au moins trois ans. Contrairement à ce qu’a retenu le Ministère public, il s’agit donc d’une configuration qui peut réaliser la condition de l’astuce, celle-ci résidant dans le fait pour les vendeurs de péjorer volontairement, et à son insu, la situation de l’acheteuse, cessionnaires des droits à la garantie pour les défauts. En effet, ce faisant, les vendeurs modifiaient sensiblement l’objet du contrat de vente à terme, plus précisément les droits attachés à l’objets du contrat, au détriment de l’acheteuse. Dans cette hypothèse, la commission de l’infraction d’escroquerie dans le cadre de la passation de la vente immobilière ne pourrait pas être exclue. 4.5 Enfin, dans l’hypothèse de la confection d’attestations antidatées, la commission d’une tentative d’escroquerie au moyen de ces actes faux ne pourrait pas non plus être exclue. En effet, dans le cadre du régime de la garantie pour les défauts, il appartient à l’entrepreneur d’apporter la preuve que la prescription est atteinte (art. 8 CC ; Chaix, op. cit., n. 44 ad art. 371 CO). Or, l’usage de titres falsifiés dans ce cadre serait une manœuvre frauduleuse, soit astucieuse au sens de l’art. 146 CP. 4.6 Au vu de ce qui précède, il n’est pas possible d’exclure la commission des infractions de faux dans les titres et d’escroquerie par A.X.________, C.X.________ et B.X.________, en leur qualité de vendeurs, ainsi que de représentants de [...] et de [...]. Il conviendra donc d’ouvrir une instruction et, au moins, de les auditionner sur les faits qui précèdent. Le grief de la recourante est donc fondé. 5. En définitive, le recours doit être admis et l’ordonnance entreprise annulée. Le dossier de la cause sera renvoyé au Ministère public de l'arrondissement de Lausanne pour qu’il procède dans le sens des considérants.</w:t>
      </w:r>
    </w:p>
    <w:p>
      <w:r>
        <w:t>- 15 - Vu le sort du recours, les frais de la procédure, constitués du seul émolument d’arrêt, par 1'540 fr. (art. 20 al. 1 TFIP [tarif des frais de procédure et indemnités en matière pénale du 28 septembre 2010 ; BLV 312.03.1]), seront laissés à la charge de l’Etat (art. 428 al. 4 CPP). Le montant de 770 fr. déjà versé par la recourante à titre de sûretés lui sera restitué (art. 383 al. 1 CPP ; art. 7 TFIP). La recourante, qui a procédé avec l’assistance d’un conseil de choix et qui a obtenu gain de cause, a droit, à la charge de l’Etat, à une indemnité pour les dépenses obligatoires occasionnées par la procédure de recours (art. 433 al. 1 CPP, applicable par renvoi de l’art. 436 al. 1 CPP ; cf. TF 6B_2/2021 du 25 juin 2021 consid. 1.1 ; TF 6B_1324/2015 du 23 novembre 2016 consid. 2.2). Conformément à la liste d’opérations produite et pour tenir compte des opérations postérieures à la notification du présent arrêt, il sera retenu une durée d’activité totale de quatre heures au tarif horaire de 300 fr. (art. 26a al. 3 TFIP ; TF 7B_35/2022 du 22 février 2024, JdT 2024 III 61), à hauteur de 1'200 francs. A ce montant il convient d’ajouter des débours forfaitaires à concurrence de 2 % des honoraires admis (art. 19 al. 2 TDC [Tarif des dépens en matière civile du 23 novembre 2010 ; BLV 270.11.6]), par 24 fr., plus la TVA au taux de 8,1 %, par 99 fr. 15. L’indemnité s’élève ainsi à 1'324 fr. au total, en chiffres arrondis. Par ces motifs, la Chambre des recours pénale prononce : I. Le recours est admis. II. L’ordonnance du 20 août 2024 est annulée. III. Le dossier de la cause est renvoyé au Ministère public de l’arrondissement de Lausanne pour qu’il procède dans le sens des considérants. IV. Les frais d’arrêt, par 1'540 fr. (mille cinq cent quarante francs), sont laissés à la charge de l’Etat.</w:t>
      </w:r>
    </w:p>
    <w:p>
      <w:r>
        <w:t>- 16 - V. L’avance de frais de 770 fr. (sept cent septante francs) versée par A.________ à titre de sûretés lui est restituée. VI. Une indemnité de 1'324 fr. (mille trois cent vingt-quatre francs) est allouée à A.________ pour la procédure de recours, à la charge de l’Etat. VII. L’arrêt est exécutoire. La vice-présidente : Le greffier : Du Le présent arrêt, dont la rédaction a été approuvée à huis clos, est notifié, par l'envoi d'une copie complète, à : - Me Romain Deillon, avocat (pour A.________), - Ministère public central, et communiqué à : - M. le Procureur de l’arrondissement de Lausanne,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3.3</w:t>
      </w:r>
    </w:p>
    <w:p>
      <w:r>
        <w:t>Le délai ordinaire de prescription des droits du maître en raison d’un ouvrage mobilier est de deux ans dès réception de l’ouvrage (art. 371 al. 1, 1re phrase CO) ; il est de cinq ans si les défauts d’un ouvrage mobilier intégré dans un ouvrage immobilier conformément à l’usage auquel il est normalement destiné sont à l’origine des défauts de l’ouvrage (art. 371 al. 1, 2e phrase CO) ; tel est le cas si un ouvrage mobilier devient partie intégrante de l’immeuble de par sa nature (ainsi des vitres devant être montées sur des fenêtres) (Chaix, in : Thévenoz/Werro [éd.], Commentaire romand, Code des obligations I, 3e éd. 2021, n 23a ss ad art. 371 CO). Enfin, le délai de prescription pour les défauts de construction pour les ouvrages immobiliers est de cinq ans, et s’appliquent non seulement à l’égard de l’entrepreneur mais également à l’égard des architectes ou des ingénieurs qui ont collaboré à l’exécution de l’ouvrage (art. 371 al. 2 CO ; Chaix, op. cit., n. 37 à 38d ad art. 371 CO). Les art. 367 à 371 CO relatifs à la garantie des défauts de l'ouvrage sont de droit dispositif. Les délais qui viennent d’être exposés peuvent donc être contractuellement réduits ou prolongés, dans certaines limites (Chaix, op. cit., n. 41 ad art. 371 CO). Les dispositions de la norme SIA 118 (« Conditions générales pour l'exécution des travaux de constructions ») ne sont applicables que si les parties ont convenu de les reprendre en les intégrant à leur contrat (ATF 118 II 295 consid. 2). Cette intégration peut résulter soit d'un accord</w:t>
      </w:r>
    </w:p>
    <w:p>
      <w:r>
        <w:t>- 11 - exprès, soit d'un accord tacite. Elle découle souvent d'un simple renvoi aux dispositions de cette norme (TF 4A_667/2016 du 3 avril 2017 consid.</w:t>
      </w:r>
    </w:p>
    <w:p>
      <w:r>
        <w:rPr>
          <w:b/>
        </w:rPr>
        <w:t>E. 8</w:t>
      </w:r>
    </w:p>
    <w:p>
      <w:r>
        <w:t>novembre 2019 consid. 8.3.1, non publié in ATF 145 IV 470 ; TF 6B_467/2019 du 19 juillet 2019 consid. 3.3.1).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6B_383/2019 du 8 novembre 2019 consid. 8.3.1, non publié in ATF 145 IV 470 ; ATF 142 IV 119 consid. 2.2 p. 122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