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PE24.010523 vom 3. Juni 2024</w:t>
      </w:r>
    </w:p>
    <w:p>
      <w:r>
        <w:t>VD Tribunal cantonal, 2024-06-03, FR</w:t>
      </w:r>
    </w:p>
    <w:p>
      <w:r>
        <w:rPr>
          <w:b/>
        </w:rPr>
        <w:t xml:space="preserve">Quelle: </w:t>
      </w:r>
      <w:r>
        <w:t>https://mcp.opencaselaw.ch/entscheid/vd_gerichte_PE24.010523</w:t>
      </w:r>
    </w:p>
    <w:p>
      <w:r>
        <w:t>FR: VD_GERICHTE PE24.010523 du 3 juin 2024</w:t>
      </w:r>
    </w:p>
    <w:p>
      <w:r>
        <w:t>IT: VD_GERICHTE PE24.010523 del 3 giugno 2024</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A.____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 (let. a)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w:t>
      </w:r>
    </w:p>
    <w:p>
      <w:r>
        <w:rPr>
          <w:b/>
        </w:rPr>
        <w:t>E. 3.1</w:t>
      </w:r>
    </w:p>
    <w:p>
      <w:r>
        <w:t>Le recourant ne conteste à juste titre pas l’existence de soupçons suffisants de la commission d’un crime ou d’un délit. Il conteste le risque de fuite, faisant valoir que sa seule domiciliation en France ne justifie pas qu’il soit considéré que ce risque est réalisé. Il soutient en outre qu’il ne s’est jamais soustrait à la justice.</w:t>
      </w:r>
    </w:p>
    <w:p>
      <w:r>
        <w:rPr>
          <w:b/>
        </w:rPr>
        <w:t>E. 3.2</w:t>
      </w:r>
    </w:p>
    <w:p>
      <w:r>
        <w:t>Conformément à l’art. 221 al. 1 let. a CPP, la détention provisoire ne peut être ordonnée que lorsque le prévenu est fortement</w:t>
      </w:r>
    </w:p>
    <w:p>
      <w:r>
        <w:t>- 8 - soupçonné d’avoir commis un crime ou un délit et qu’il y a sérieusement lieu de craindre qu’il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7B_1011/2023 du 11 janvier 2024 consid. 4.1). Le risque de fuite s'étend également au risque de se soustraire à la procédure pénale ou à la sanction prévisible en tombant dans la clandestinité à l'intérieur du pays (ATF 143 IV 160 consid. 4.3 ; TF 1B_549/2020 du 9 novembre 2020 consid. 3.1).</w:t>
      </w:r>
    </w:p>
    <w:p>
      <w:r>
        <w:rPr>
          <w:b/>
        </w:rPr>
        <w:t>E. 3.3</w:t>
      </w:r>
    </w:p>
    <w:p>
      <w:r>
        <w:t>En l’espèce, le prévenu est de nationalité tunisienne et domicilié en France. Il a déclaré également être établi à Monthey, où il dit être joignable, tout en indiquant n’avoir aucun statut lui permettant de résider en Suisse, et travailler à Nice. La durée de sa présence en Suisse n’est en l’état pas établie. Ainsi, ses attaches principales sont en France et sa présence en Suisse, qui serait illicite, ne repose que sur sa propre volonté. Il est dès lors à craindre que A.____ ne quitte la Suisse pour se rendre en France, comme il avait du reste prévu de le faire le jour de son interpellation, si sa détention provisoire n’est pas ordonnée. En outre, il est d’autant plus à craindre qu’il ne tente de se soustraire à la justice suisse qu’il a déjà fait l’objet de deux condamnations entrées en force à des jours-amende et qu’il est peu probable que le même genre de peine soit à nouveau prononcée. Le fait qu’il ne soit pas de nationalité française et qu’une procédure d’extradition soit théoriquement possible n’y change rien.</w:t>
      </w:r>
    </w:p>
    <w:p>
      <w:r>
        <w:t>- 9 - Il s’ensuit que le risque de fuite est concret et justifie la mise en détention provisoire du recourant.</w:t>
      </w:r>
    </w:p>
    <w:p>
      <w:r>
        <w:rPr>
          <w:b/>
        </w:rPr>
        <w:t>E. 4.1</w:t>
      </w:r>
    </w:p>
    <w:p>
      <w:r>
        <w:t>Le recourant conteste l’existence d’un risque de collusion.</w:t>
      </w:r>
    </w:p>
    <w:p>
      <w:r>
        <w:rPr>
          <w:b/>
        </w:rPr>
        <w:t>E. 4.2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w:t>
      </w:r>
    </w:p>
    <w:p>
      <w:r>
        <w:t>- 10 -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w:t>
      </w:r>
    </w:p>
    <w:p>
      <w:r>
        <w:rPr>
          <w:b/>
        </w:rPr>
        <w:t>E. 4.3</w:t>
      </w:r>
    </w:p>
    <w:p>
      <w:r>
        <w:t>En l’espèce, le risque de collusion est patent. En effet, dans la mesure où le Ministère public entend auditionner notamment le frère du prévenu, ce dernier contestant une partie des faits, il paraît nécessaire d’empêcher le recourant de pouvoir convenir avec celui-ci d’une version des faits. En outre, comme l’a retenu le Tribunal des mesures de contrainte, des éléments de preuve doivent encore être recueillis, tels que la recherche du téléphone de la plaignante. Le résultat de cette mesure d’instruction pourrait permettre d’établir les faits. A ce stade précoce de l’enquête, il y a ainsi lieu de retenir que le risque de collusion est réalisé.</w:t>
      </w:r>
    </w:p>
    <w:p>
      <w:r>
        <w:rPr>
          <w:b/>
        </w:rPr>
        <w:t>E. 5</w:t>
      </w:r>
    </w:p>
    <w:p>
      <w:r>
        <w:t>Le recourant conteste encore l’existence d’un risque de réitération. La réalisation de l’une des conditions de l’art. 221 al. 1 let. a à c CPP étant suffisante pour justifier la détention provisoire (TF 1B_160/2018 du 19 avril 2018 consid. 3.3), l’existence d’un risque de fuite et d’un risque de collusion dispense la Chambre de céans d’examiner si celle-ci s’impose également en raison d’un autre risque.</w:t>
      </w:r>
    </w:p>
    <w:p>
      <w:r>
        <w:rPr>
          <w:b/>
        </w:rPr>
        <w:t>E. 6.1</w:t>
      </w:r>
    </w:p>
    <w:p>
      <w:r>
        <w:t>Invoquant le principe de proportionnalité, le recourant soutient, dans sa conclusion subsidiaire, que des mesures de substitution,</w:t>
      </w:r>
    </w:p>
    <w:p>
      <w:r>
        <w:t>- 11 - à forme d’une interdiction de contact et de périmètre en faveur d’F.____ ainsi que d’une obligation à son égard de se tenir à disposition des autorités pénales suisse, seraient suffisantes pour parer les risques retenus. Encore plus subsidiairement, A.____ fait valoir qu’une durée de détention d’un mois est suffisante pour effectuer une ou deux auditions.</w:t>
      </w:r>
    </w:p>
    <w:p>
      <w:r>
        <w:rPr>
          <w:b/>
        </w:rPr>
        <w:t>E. 6.2.1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w:t>
      </w:r>
    </w:p>
    <w:p>
      <w:r>
        <w:t>- 12 - IV 367 consid. 2.1, SJ 2017 I 233 ; ATF 133 I 270 consid. 2.2 ; Coquoz, in : Jeanneret et al. [éd.], Commentaire romand, Code de procédure pénale suisse, 2e éd. 2019, n. 2 ad art. 237 CPP).</w:t>
      </w:r>
    </w:p>
    <w:p>
      <w:r>
        <w:rPr>
          <w:b/>
        </w:rPr>
        <w:t>E. 6.2.2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ATF 139 IV 270 précité).</w:t>
      </w:r>
    </w:p>
    <w:p>
      <w:r>
        <w:rPr>
          <w:b/>
        </w:rPr>
        <w:t>E. 6.3</w:t>
      </w:r>
    </w:p>
    <w:p>
      <w:r>
        <w:t>A l’instar du Tribunal des mesures de contrainte, la Chambre de céans considère que les mesures de substitution proposées par le recourant ne sont pas susceptibles de prévenir efficacement les risques constatés et qu’aucune autre mesure n’est à même de les pallier valablement. En effet, l’interdiction de contact et de périmètre ainsi que l’obligation de se présenter à toute convocation des autorités pénales sont des mesures qui ne reposent que sur la propre volonté du recourant. Elles ne sont ainsi pas en mesure d’éviter la fuite du prévenu ou des manœuvres de celui-ci destinées à entraver la manifestation de la vérité, tout au plus de constater après coup leur violation. Au demeurant, au vu des infractions envisagées, le principe de proportionnalité est respecté. Une durée d’un mois paraît trop courte pour permettre au Ministère public d’entreprendre toutes les démarches utiles à l’enquête.</w:t>
      </w:r>
    </w:p>
    <w:p>
      <w:r>
        <w:rPr>
          <w:b/>
        </w:rPr>
        <w:t>E. 7</w:t>
      </w:r>
    </w:p>
    <w:p>
      <w:r>
        <w:t>Il résulte de ce qui précède que le recours, manifestement mal fondé, doit être rejeté sans échange d’écriture (art. 390 al. 2 CPP) et l’ordonnance entreprise confirmée.</w:t>
      </w:r>
    </w:p>
    <w:p>
      <w:r>
        <w:t>- 13 - Compte tenu de la nature de l’affaire et de l’acte de recours déposé, l’indemnité allouée au défenseur d’office de A.____ sera fixée à 540 fr., correspondant à une activité nécessaire d’avocat de 3 heures au tarif horaire de 180 fr., montant auquel il convient d’ajouter des débours forfaitaires à concurrence de 2 % des honoraires admis (art. 2 al. 1 let. a et 3 al. 2 RAJ [Règlement sur l'assistance judiciaire en matière civile du 7 décembre 2010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1’320 fr. (art. 20 al. 1 TFIP), et des frais imputables à la défense d’office de A.____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16 mai 2024 est confirmée. III. L’indemnité allouée au défenseur d’office de A.____ est fixée à 596 fr. (cinq cent nonante-six francs). IV. Les frais d’arrêt, par 1’320 fr. (mille trois cent vingt francs), ainsi que l’indemnité due au défenseur d’office du recourant, par 596 fr. (cinq cent nonante-six francs), sont mis à la charge de A.____.</w:t>
      </w:r>
    </w:p>
    <w:p>
      <w:r>
        <w:t>- 14 - V. Le remboursement à l’Etat de l’indemnité allouée au chiffre III ci-dessus ne sera exigible que pour autant que la situation financière de A.____ le permette. VI. L’arrêt est exécutoire. Le président : La greffière : Du Le présent arrêt, dont la rédaction a été approuvée à huis clos, est notifié, par l'envoi d'une copie complète, à : - Me Zakia Arnouni, avocate (pour A.____),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