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PE24.010114 vom 20. November 2024</w:t>
      </w:r>
    </w:p>
    <w:p>
      <w:r>
        <w:t>VD Tribunal cantonal, 2024-11-20, FR</w:t>
      </w:r>
    </w:p>
    <w:p>
      <w:r>
        <w:rPr>
          <w:b/>
        </w:rPr>
        <w:t xml:space="preserve">Quelle: </w:t>
      </w:r>
      <w:r>
        <w:t>https://mcp.opencaselaw.ch/entscheid/vd_gerichte_PE24.010114</w:t>
      </w:r>
    </w:p>
    <w:p>
      <w:r>
        <w:t>FR: VD_GERICHTE PE24.010114 du 20 novembre 2024</w:t>
      </w:r>
    </w:p>
    <w:p>
      <w:r>
        <w:t>IT: VD_GERICHTE PE24.010114 del 20 novembre 2024</w:t>
      </w:r>
    </w:p>
    <w:p>
      <w:pPr>
        <w:pStyle w:val="Heading2"/>
      </w:pPr>
      <w:r>
        <w:t>Erwägungen</w:t>
      </w:r>
    </w:p>
    <w:p>
      <w:r>
        <w:rPr>
          <w:b/>
        </w:rPr>
        <w:t>E. 1.1</w:t>
      </w:r>
    </w:p>
    <w:p>
      <w:r>
        <w:t>Aux termes de l’art. 393 al. 1 let. a CPP, le recours est recevable contre les décisions et actes de procédure de la police, du Ministère public et des autorités pénales compétentes en matière de contraventions. Une ordonnance par laquelle le Ministère public refuse la qualité de partie plaignante est ainsi susceptible de recours (CREP 29 février 2024/172 ; CREP 27 mai 2024/374 ; CREP 29 septembre 2023/660). Ce recours s’exerce par écrit, dans les dix jours dès la notification de la décision attaquée (art. 384 let. b CPP),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dans le délai légal, auprès de l'autorité compétente et dans les formes prescrites (art. 385 al. 1 CPP), par des personnes dont la qualité de partie plaignante n’a pas été reconnue et qui, partant, ont un intérêt juridiquement protégé (art. 382 al. 1 CPP) à ce que la qualité de partie leur soit reconnue, puisqu’ils se trouvent définitivement écartés de la procédure pénale (ATF 145 IV 161 consid. 3.1 ; TF 1B_269/2022 du 31 mai 2022 consid. 2), le recours de X.________ et Y.________ est recevable.</w:t>
      </w:r>
    </w:p>
    <w:p>
      <w:r>
        <w:rPr>
          <w:b/>
        </w:rPr>
        <w:t>E. 2.1</w:t>
      </w:r>
    </w:p>
    <w:p>
      <w:r>
        <w:t>; TF 1B_512/2022 du 17 novembre 2022 consid. 3.1).</w:t>
      </w:r>
    </w:p>
    <w:p>
      <w:r>
        <w:rPr>
          <w:b/>
        </w:rPr>
        <w:t>E. 2.2.1</w:t>
      </w:r>
    </w:p>
    <w:p>
      <w:r>
        <w:t>Selon l'art. 116 al. 1 CPP, on entend par victime le lésé qui, du fait d'une infraction, a subi une atteinte directe à son intégrité physique, psychique ou sexuelle. Le proche de la victime est défini à l'art. 116 al. 2 CPP. Il s'agit notamment des enfants de celle-ci. En vertu de l'art. 117 al. 3 CPP, les proches de la victime jouissent des mêmes droits que celle-ci lorsqu'ils se portent partie civile contre les prévenus. Selon la jurisprudence (ATF 139 IV 89 consid. 2.2), les termes « se portent partie civile » de la version française doivent s'interpréter dans le sens de faire valoir des prétentions civiles, comme en attestent les versions allemande et italienne (« Machen die Angehörigen des Opfers Zivilansprüche geltend » ; « se fanno valere pretese civili »). Par « mêmes droits », il faut entendre notamment le droit pour le proche de se constituer partie plaignante comme demandeur au civil, le cas échéant aussi au pénal. Toutefois, le droit du proche de se constituer partie plaignante implique, ce que confirme la combinaison des art. 117 al.</w:t>
      </w:r>
    </w:p>
    <w:p>
      <w:r>
        <w:rPr>
          <w:b/>
        </w:rPr>
        <w:t>E. 2.2.2</w:t>
      </w:r>
    </w:p>
    <w:p>
      <w:r>
        <w:t>Aux termes de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p. 342 ; ATF 130 III 699 consid. 5.1 p. 704 s. et les réf. cit.). On ne peut exclure a priori le droit des parents de victimes d'abus sexuels à une indemnité pour tort moral, mais seules des atteintes d'une gravité exceptionnelle peuvent en justifier l'allocation (TF 1B_62/2019 du 19 mars 2019 consid. 3 ; TF 6B_1063/2018 du 26 novembre 2018 consid. 2.2 ; TF 6B_962/2018 du 14 novembre 2018 consid. 1.2 ; TF 6B_1135/2016 du 24 novembre 2017 consid. 2 ; TF 6B_707/2014 du 18 décembre 2014 consid. 1.1). Le parent d'un enfant abusé sexuellement doit être touché avec la même intensité qu'en cas de décès de l'enfant (ATF 139 IV 89 consid. 2.4.1 ; TF 6B_160/2014 du 26</w:t>
      </w:r>
    </w:p>
    <w:p>
      <w:r>
        <w:t>- 7 - août 2014 consid. 3.1 ; TF 6B_591/2012 du 21 décembre 2012 consid. 2.4.1).</w:t>
      </w:r>
    </w:p>
    <w:p>
      <w:r>
        <w:rPr>
          <w:b/>
        </w:rPr>
        <w:t>E. 2.3</w:t>
      </w:r>
    </w:p>
    <w:p>
      <w:r>
        <w:t>En l’espèce, le Ministère public a retenu qu’il n’apparaissait pas que les recourants puissent obtenir une indemnité fondée sur l’art. 49 CO – et donc faire valoir des prétentions civiles propres – faute de souffrances exceptionnelles. La Procureure a relevé que les parents étaient tous les deux déjà au bénéfice de suivis thérapeutiques avant les faits litigieux, et ce depuis des années. Le fait que le psychiatre et la psychologue de la recourante aient constaté une augmentation significative de la souffrance émotionnelle de celle-ci ou que la thérapeute de couple ait remarqué des « pensées obsédantes au sujet de l’incident, un sentiment d’impuissance associé à de la colère, un sentiment d’injustice et une thymie triste » à la suite de l’agression sexuelle rapportée par leur fille ne permettait pas encore de retenir des « souffrances exceptionnelles » assimilables aux souffrances subies lors d’un décès. Les éléments soulevés par les recourants ne permettent aucunement de renverser l’appréciation du Ministère public. Même à admettre qu’ils subiraient « d’autres souffrances », sans lien avec celles déjà précédemment constatées et pour lesquelles ils étaient suivis, il n’en demeure pas moins qu’ils ne rendent aucunement vraisemblable que les souffrances qui seraient consécutives aux événements de la nuit du 4 au 5 mai atteindraient le seuil minimal requis par la jurisprudence. Partant, le recours doit être rejeté.</w:t>
      </w:r>
    </w:p>
    <w:p>
      <w:r>
        <w:rPr>
          <w:b/>
        </w:rPr>
        <w:t>E. 3</w:t>
      </w:r>
    </w:p>
    <w:p>
      <w:r>
        <w:t>En définitive, le recours, manifestement mal fondé, doit être rejeté sans échange d'écritures (art. 390 al. 2 CPP) et l'ordonnance entreprise confirmée. Le prévenu, par son défenseur d’office, s’est déterminé spontanément par courrier du 25 octobre 2024, concluant au rejet du recours. En application de l’art. 390 al. 2 CPP, il ne lui aurait toutefois pas</w:t>
      </w:r>
    </w:p>
    <w:p>
      <w:r>
        <w:t>- 8 - été demandé de déterminations, de sorte qu’il n’y a pas lieu de lui allouer d’indemnité. Les frais de la procédure, constitués en l’espèce du seul émolument d’arrêt, par 770 fr. (art. 20 al. 1 TFIP), seront mis à la charge de X.________ et Y.________, qui succombent (art. 428 al. 1 CPP), par moitié et solidairement entre eux. Par ces motifs, la Chambre des recours pénale prononce : I. Le recours est rejeté. II. L’ordonnance du 11 octobre 2024 est confirmée. III. Les frais d’arrêt, par 770 fr. (sept cent septante francs), sont mis à la charge de X.________ et Y.________, par moitié et solidairement entre eux. IV. L’arrêt est exécutoire. Le président : La greffière : Du Le présent arrêt, dont la rédaction a été approuvée à huis clos, est notifié, par l'envoi d'une copie complète, à : - Me Pierre Ventura, avocat (pour X.________ et Y.________), - Ministère public central, et communiqué à : - Me Alexandre de Candia, avocat (pour P.________), - Me Aurélie Cornamusaz, avocate (pour V.________),</w:t>
      </w:r>
    </w:p>
    <w:p>
      <w:r>
        <w:t>- 9 -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