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PE24.009656 vom 20. August 2024</w:t>
      </w:r>
    </w:p>
    <w:p>
      <w:r>
        <w:t>VD Tribunal cantonal, 2024-08-20, FR</w:t>
      </w:r>
    </w:p>
    <w:p>
      <w:r>
        <w:rPr>
          <w:b/>
        </w:rPr>
        <w:t xml:space="preserve">Quelle: </w:t>
      </w:r>
      <w:r>
        <w:t>https://mcp.opencaselaw.ch/entscheid/vd_gerichte_PE24.009656</w:t>
      </w:r>
    </w:p>
    <w:p>
      <w:r>
        <w:t>FR: VD_GERICHTE PE24.009656 du 20 août 2024</w:t>
      </w:r>
    </w:p>
    <w:p>
      <w:r>
        <w:t>IT: VD_GERICHTE PE24.009656 del 20 agosto 2024</w:t>
      </w:r>
    </w:p>
    <w:p>
      <w:pPr>
        <w:pStyle w:val="Heading2"/>
      </w:pPr>
      <w:r>
        <w:t>Erwägungen</w:t>
      </w:r>
    </w:p>
    <w:p>
      <w:r>
        <w:rPr>
          <w:b/>
        </w:rPr>
        <w:t>E. 1.1</w:t>
      </w:r>
    </w:p>
    <w:p>
      <w:r>
        <w:t>Les parties peuvent attaquer une ordonnance de non-entrée en matière rendue par le Ministère public en application de l'art. 310 CPP</w:t>
      </w:r>
    </w:p>
    <w:p>
      <w:r>
        <w:t>- 3 -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la partie plaignante qui a qualité pour recourir (art. 382 al. 1 CPP), le recours de L.________ est recevable sous cet angle. Autre est toutefois la question de savoir si le recours satisfait aux exigences légales quant à sa motivation.</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 tar], n. 2 ad art. 385 StPO; Pitteloud, Code de procédure pénale suisse, Commentaire à l’usage des praticiens, Zurich/St-Gall 2012, n. 1126). Le recourant doit ensuite énoncer « les motifs qui commandent une autre décision » (art. 385 al. 1 let. b CPP), à savoir les arguments, de fait ou de</w:t>
      </w:r>
    </w:p>
    <w:p>
      <w:r>
        <w:t>- 4 -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 TF 1B_318/2021 du 25 janvier 2022 consid. 4.1 ; TF 6B_191/2021 du 11 août 2021 consid. 2 ; Keller, in : Donatsch/Lieber/Summers/ Wohlers [éd.], Zürcher Kommentar, Kommentar zur Schweizerischen Strafprozess­ordnung, 3e éd. 2020, n. 14 ad art. 396 StPO et les réf. cit. ; Calame, in : CR-CPP, op. cit., n. 21 ad art. 385 CPP ; Guidon, in : Basler Kommentar, op. cit., n. 9c ad art. 396 StPO et les réf. cit.). L’art. 385 al. 2, 1re phr.,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 bre 2020 consid. 2.2 et les réf. cit.).</w:t>
      </w:r>
    </w:p>
    <w:p>
      <w:r>
        <w:t>- 5 -</w:t>
      </w:r>
    </w:p>
    <w:p>
      <w:r>
        <w:rPr>
          <w:b/>
        </w:rPr>
        <w:t>E. 2.1.2</w:t>
      </w:r>
    </w:p>
    <w:p>
      <w:r>
        <w:t>Conformément à l'art. 310 al. 1 let. a CPP, le Ministère public rend immédiatement – c'est-à-dire sans qu'une instruction soit ouverte (art. 309 al. 1 et 4 CPP ; ATF 144 IV 86 consid. 2.3.3 ; Grodecki/Cornu, in : Jeanneret/Kuhn/Perrier Depeursinge [éd.], Commentaire romand, Code de procédure pénale suisse, 2e éd., Bâle 2019 [ci-après : CR-CPP],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w:t>
      </w:r>
    </w:p>
    <w:p>
      <w:r>
        <w:rPr>
          <w:b/>
        </w:rPr>
        <w:t>E. 2.1.3</w:t>
      </w:r>
    </w:p>
    <w:p>
      <w:r>
        <w:t>Commet un abus de confiance au sens de l'art. 138 ch. 1 CP (Code pénal suisse du 21 décembre 1937 ; RS 311.0) quiconque, pour se procurer ou procurer à un tiers un enrichissement illégitime, s’approprie une chose mobilière appartenant à autrui et qui lui a été confiée (al. 1) ou quiconque, sans droit, emploie à son profit ou au profit d'un tiers, des valeurs patrimoniales qui lui ont été confiées (al. 2). Sur le plan objectif, cette infraction suppose qu'une chose mobilière ou 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 utiliser la chose mobilière ou la valeur patrimoniale contrairement aux instructions reçues, en s'écartant de la destination fixée (ATF 129 IV 257 consid. 2.2.1 et les réf. citées).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w:t>
      </w:r>
    </w:p>
    <w:p>
      <w:r>
        <w:t>- 6 - comportement par lequel l'auteur démontre clairement sa volonté de ne pas respecter les droits de celui qui lui fait confiance (ATF 129 IV 257 précité consid. 2.2.1 ; ATF 121 IV 23 consid. 1c ; TF 6B_1017/2022, 6B_1029/2022 du 7 juin 2023 consid. 2.1). Du point de vue subjectif, l'auteur doit avoir agi intentionnellement et dans un dessein d'enrichissement illégitime, lequel peut être réalisé par dol éventuel (ATF 118 IV 32 consid. 2a ; TF 6B_1169/2022 du 30 juin 2023 consid. 2.2 ; TF 6B_595/2022 du 2 juin 2023 consid. 2.1.2).</w:t>
      </w:r>
    </w:p>
    <w:p>
      <w:r>
        <w:rPr>
          <w:b/>
        </w:rPr>
        <w:t>E. 2.2</w:t>
      </w:r>
    </w:p>
    <w:p>
      <w:r>
        <w:t>En l’espèce, comme l’a retenu le Ministère public, le litige qui oppose les parties est de nature civile, de sorte qu’il échappe manifestement à la compétence des autorités pénales. La recourante ne critique pas cette appréciation et se contente de reprocher à H.________ de ne pas vouloir prendre en charge l’intégralité des frais liés au changement de cylindre qui s’est avéré nécessaire à la suite de la perte de la clé de son logement et de ne pas prendre ses responsabilités. Ce faisant, elle n’invoque aucun moyen permettant de se convaincre que son filleul aurait commis un abus de confiance ou toute autre infraction pénale et que la décision du Ministère public serait erronée. Il n’existe en outre aucun indice au dossier qui laisserait penser que le litige opposant les parties ne serait pas de nature civile. Dans ces conditions, le recours de L.________ ne satisfait pas aux exigences de motivation posées par l'art. 385 al. 1 CPP. Un tel défaut de motivation ne saurait justifier qu'un délai supplémentaire soit fixé à la recourante pour compléter son acte en application de l'art. 385 al. 2 CPP (cf. supra consid. 2.2.1).</w:t>
      </w:r>
    </w:p>
    <w:p>
      <w:r>
        <w:rPr>
          <w:b/>
        </w:rPr>
        <w:t>E. 3</w:t>
      </w:r>
    </w:p>
    <w:p>
      <w:r>
        <w:t>En définitive, le recours interjeté par L.________ doit être déclaré irrecevable, sans échange d’écritures (390 al. 2 CPP).</w:t>
      </w:r>
    </w:p>
    <w:p>
      <w:r>
        <w:t>- 7 -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Mme L.________, - Ministère public central, et communiqué à : - M. le Procureur de l’arrondissement de Lausanne, - M. H.________, par l’envoi de photocopies. Le présent arrêt peut faire l'objet d'un recours en matière</w:t>
      </w:r>
    </w:p>
    <w:p>
      <w:r>
        <w:t>- 8 -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